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95" w:rsidRPr="00262AAA" w:rsidRDefault="00E3189B" w:rsidP="00CA23F1">
      <w:pPr>
        <w:pStyle w:val="FrameContents"/>
        <w:rPr>
          <w:lang w:val="en-US"/>
        </w:rPr>
      </w:pPr>
      <w:bookmarkStart w:id="0" w:name="_GoBack"/>
      <w:bookmarkEnd w:id="0"/>
      <w:r>
        <w:rPr>
          <w:lang w:val="en"/>
        </w:rPr>
        <w:t>Agribusiness Foreign Trade Bulletin – June 2021</w:t>
      </w:r>
    </w:p>
    <w:p w:rsidR="00F00D95" w:rsidRPr="00262AAA" w:rsidRDefault="00F00D95">
      <w:pPr>
        <w:jc w:val="both"/>
        <w:rPr>
          <w:rFonts w:cstheme="minorHAnsi"/>
          <w:b/>
          <w:sz w:val="10"/>
          <w:szCs w:val="10"/>
          <w:lang w:val="en-US"/>
        </w:rPr>
      </w:pPr>
    </w:p>
    <w:p w:rsidR="00F00D95" w:rsidRPr="00262AAA" w:rsidRDefault="00E3189B">
      <w:pPr>
        <w:jc w:val="both"/>
        <w:rPr>
          <w:lang w:val="en-US"/>
        </w:rPr>
      </w:pPr>
      <w:r>
        <w:rPr>
          <w:noProof/>
          <w:lang w:eastAsia="pt-BR"/>
        </w:rPr>
        <mc:AlternateContent>
          <mc:Choice Requires="wps">
            <w:drawing>
              <wp:anchor distT="0" distB="0" distL="114300" distR="114300" simplePos="0" relativeHeight="2" behindDoc="0" locked="0" layoutInCell="1" allowOverlap="1">
                <wp:simplePos x="0" y="0"/>
                <wp:positionH relativeFrom="margin">
                  <wp:align>left</wp:align>
                </wp:positionH>
                <wp:positionV relativeFrom="paragraph">
                  <wp:posOffset>9525</wp:posOffset>
                </wp:positionV>
                <wp:extent cx="5400675" cy="1270"/>
                <wp:effectExtent l="0" t="0" r="0" b="0"/>
                <wp:wrapNone/>
                <wp:docPr id="1" name="Conector reto 19"/>
                <wp:cNvGraphicFramePr/>
                <a:graphic xmlns:a="http://schemas.openxmlformats.org/drawingml/2006/main">
                  <a:graphicData uri="http://schemas.microsoft.com/office/word/2010/wordprocessingShape">
                    <wps:wsp>
                      <wps:cNvCnPr/>
                      <wps:spPr>
                        <a:xfrm>
                          <a:off x="0" y="0"/>
                          <a:ext cx="5400000" cy="720"/>
                        </a:xfrm>
                        <a:prstGeom prst="line">
                          <a:avLst/>
                        </a:prstGeom>
                        <a:ln/>
                      </wps:spPr>
                      <wps:style>
                        <a:lnRef idx="3">
                          <a:schemeClr val="dk1"/>
                        </a:lnRef>
                        <a:fillRef idx="0">
                          <a:schemeClr val="dk1"/>
                        </a:fillRef>
                        <a:effectRef idx="2">
                          <a:schemeClr val="dk1"/>
                        </a:effectRef>
                        <a:fontRef idx="minor"/>
                      </wps:style>
                      <wps:bodyPr/>
                    </wps:wsp>
                  </a:graphicData>
                </a:graphic>
              </wp:anchor>
            </w:drawing>
          </mc:Choice>
          <mc:Fallback>
            <w:pict>
              <v:line id="shape_0" from="9pt,0.75pt" to="434.15pt,0.75pt" ID="Conector reto 19" stroked="t" style="position:absolute;mso-position-horizontal:left;mso-position-horizontal-relative:margin">
                <v:stroke color="black" weight="19080" joinstyle="miter" endcap="flat"/>
                <v:fill o:detectmouseclick="t" on="false"/>
              </v:line>
            </w:pict>
          </mc:Fallback>
        </mc:AlternateContent>
      </w:r>
      <w:r>
        <w:rPr>
          <w:rFonts w:cstheme="minorHAnsi"/>
          <w:b/>
          <w:bCs/>
          <w:sz w:val="24"/>
          <w:szCs w:val="24"/>
          <w:lang w:val="en"/>
        </w:rPr>
        <w:t xml:space="preserve">Brazilian Agribusiness Exports and Trade Balance </w:t>
      </w:r>
    </w:p>
    <w:p w:rsidR="00F00D95" w:rsidRPr="00262AAA" w:rsidRDefault="00E3189B">
      <w:pPr>
        <w:jc w:val="both"/>
        <w:rPr>
          <w:color w:val="FF0000"/>
          <w:sz w:val="24"/>
          <w:szCs w:val="24"/>
          <w:lang w:val="en-US"/>
        </w:rPr>
      </w:pPr>
      <w:r>
        <w:rPr>
          <w:color w:val="000000" w:themeColor="text1"/>
          <w:sz w:val="24"/>
          <w:szCs w:val="24"/>
          <w:lang w:val="en"/>
        </w:rPr>
        <w:t xml:space="preserve">In June 2021, Brazilian exports of agribusiness products grew 25.0% compared to the same period in 2020. Once again, the performance is favored by the maintenance of the upward movement in the prices of </w:t>
      </w:r>
      <w:r>
        <w:rPr>
          <w:i/>
          <w:iCs/>
          <w:color w:val="000000" w:themeColor="text1"/>
          <w:sz w:val="24"/>
          <w:szCs w:val="24"/>
          <w:lang w:val="en"/>
        </w:rPr>
        <w:t>commodities.</w:t>
      </w:r>
      <w:r>
        <w:rPr>
          <w:color w:val="000000" w:themeColor="text1"/>
          <w:sz w:val="24"/>
          <w:szCs w:val="24"/>
          <w:lang w:val="en"/>
        </w:rPr>
        <w:t xml:space="preserve"> In the first half of 2021, exports from the sector already total US$ 61.5 billion, representing an increase of 20.8% compared to the same period of 2020. </w:t>
      </w:r>
    </w:p>
    <w:p w:rsidR="00F00D95" w:rsidRPr="00262AAA" w:rsidRDefault="00E3189B">
      <w:pPr>
        <w:tabs>
          <w:tab w:val="left" w:pos="7797"/>
        </w:tabs>
        <w:jc w:val="both"/>
        <w:rPr>
          <w:color w:val="000000" w:themeColor="text1"/>
          <w:sz w:val="24"/>
          <w:szCs w:val="24"/>
          <w:lang w:val="en-US"/>
        </w:rPr>
      </w:pPr>
      <w:r>
        <w:rPr>
          <w:color w:val="000000" w:themeColor="text1"/>
          <w:sz w:val="24"/>
          <w:szCs w:val="24"/>
          <w:lang w:val="en"/>
        </w:rPr>
        <w:t xml:space="preserve">Chart 1 shows the evolution of Brazilian foreign sales of agribusiness products in the recent period, from June 2020 to June 2021. In May 2021, the growth rate of exports was 27.3% compared to the same month of 2020 and, in June, this pace was kept, registering an increase of 25.0%. Last month, agribusiness exports totaled US$ 12.1 billion.  </w:t>
      </w:r>
    </w:p>
    <w:p w:rsidR="00F00D95" w:rsidRPr="00262AAA" w:rsidRDefault="00E3189B">
      <w:pPr>
        <w:keepNext/>
        <w:spacing w:after="0"/>
        <w:jc w:val="center"/>
        <w:rPr>
          <w:i/>
          <w:iCs/>
          <w:color w:val="000000" w:themeColor="text1"/>
          <w:sz w:val="24"/>
          <w:szCs w:val="24"/>
          <w:lang w:val="en-US"/>
        </w:rPr>
      </w:pPr>
      <w:r>
        <w:rPr>
          <w:i/>
          <w:iCs/>
          <w:color w:val="000000" w:themeColor="text1"/>
          <w:sz w:val="24"/>
          <w:szCs w:val="24"/>
          <w:lang w:val="en"/>
        </w:rPr>
        <w:t>Chart 1 – Evolution of Agribusiness Exports – Value (in US$ billion) and Growth compared to the previous year (%)</w:t>
      </w:r>
    </w:p>
    <w:p w:rsidR="00F00D95" w:rsidRDefault="00E3189B">
      <w:pPr>
        <w:keepNext/>
        <w:spacing w:after="0"/>
        <w:jc w:val="center"/>
        <w:rPr>
          <w:i/>
          <w:iCs/>
          <w:color w:val="000000" w:themeColor="text1"/>
          <w:sz w:val="24"/>
          <w:szCs w:val="24"/>
        </w:rPr>
      </w:pPr>
      <w:r>
        <w:rPr>
          <w:noProof/>
          <w:lang w:eastAsia="pt-BR"/>
        </w:rPr>
        <w:drawing>
          <wp:inline distT="0" distB="0" distL="0" distR="2540">
            <wp:extent cx="5941060" cy="2667635"/>
            <wp:effectExtent l="0" t="0" r="0" b="0"/>
            <wp:docPr id="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7"/>
                    <pic:cNvPicPr>
                      <a:picLocks noChangeAspect="1" noChangeArrowheads="1"/>
                    </pic:cNvPicPr>
                  </pic:nvPicPr>
                  <pic:blipFill>
                    <a:blip r:embed="rId11"/>
                    <a:stretch>
                      <a:fillRect/>
                    </a:stretch>
                  </pic:blipFill>
                  <pic:spPr bwMode="auto">
                    <a:xfrm>
                      <a:off x="0" y="0"/>
                      <a:ext cx="5941060" cy="2667635"/>
                    </a:xfrm>
                    <a:prstGeom prst="rect">
                      <a:avLst/>
                    </a:prstGeom>
                  </pic:spPr>
                </pic:pic>
              </a:graphicData>
            </a:graphic>
          </wp:inline>
        </w:drawing>
      </w:r>
      <w:r>
        <w:rPr>
          <w:noProof/>
          <w:lang w:eastAsia="pt-BR"/>
        </w:rPr>
        <mc:AlternateContent>
          <mc:Choice Requires="wps">
            <w:drawing>
              <wp:anchor distT="45720" distB="45720" distL="114300" distR="114300" simplePos="0" relativeHeight="6" behindDoc="0" locked="0" layoutInCell="1" allowOverlap="1">
                <wp:simplePos x="0" y="0"/>
                <wp:positionH relativeFrom="margin">
                  <wp:posOffset>1365250</wp:posOffset>
                </wp:positionH>
                <wp:positionV relativeFrom="paragraph">
                  <wp:posOffset>41910</wp:posOffset>
                </wp:positionV>
                <wp:extent cx="2800985" cy="400685"/>
                <wp:effectExtent l="0" t="0" r="0" b="0"/>
                <wp:wrapNone/>
                <wp:docPr id="2" name="Caixa de Texto 2"/>
                <wp:cNvGraphicFramePr/>
                <a:graphic xmlns:a="http://schemas.openxmlformats.org/drawingml/2006/main">
                  <a:graphicData uri="http://schemas.microsoft.com/office/word/2010/wordprocessingShape">
                    <wps:wsp>
                      <wps:cNvSpPr/>
                      <wps:spPr>
                        <a:xfrm>
                          <a:off x="0" y="0"/>
                          <a:ext cx="2800440" cy="399960"/>
                        </a:xfrm>
                        <a:prstGeom prst="rect">
                          <a:avLst/>
                        </a:prstGeom>
                        <a:solidFill>
                          <a:schemeClr val="bg1">
                            <a:lumMod val="95000"/>
                          </a:schemeClr>
                        </a:solidFill>
                        <a:ln w="9360">
                          <a:noFill/>
                        </a:ln>
                      </wps:spPr>
                      <wps:style>
                        <a:lnRef idx="0">
                          <a:scrgbClr r="0" g="0" b="0"/>
                        </a:lnRef>
                        <a:fillRef idx="0">
                          <a:scrgbClr r="0" g="0" b="0"/>
                        </a:fillRef>
                        <a:effectRef idx="0">
                          <a:scrgbClr r="0" g="0" b="0"/>
                        </a:effectRef>
                        <a:fontRef idx="minor"/>
                      </wps:style>
                      <wps:txbx>
                        <w:txbxContent>
                          <w:p w:rsidR="00F00D95" w:rsidRPr="00262AAA" w:rsidRDefault="00E3189B">
                            <w:pPr>
                              <w:pStyle w:val="FrameContents"/>
                              <w:spacing w:after="0" w:line="240" w:lineRule="auto"/>
                              <w:jc w:val="center"/>
                              <w:rPr>
                                <w:sz w:val="20"/>
                                <w:szCs w:val="20"/>
                                <w:lang w:val="en-US"/>
                              </w:rPr>
                            </w:pPr>
                            <w:r>
                              <w:rPr>
                                <w:sz w:val="20"/>
                                <w:szCs w:val="20"/>
                                <w:lang w:val="en"/>
                              </w:rPr>
                              <w:t xml:space="preserve">Aggregate in 2021: </w:t>
                            </w:r>
                            <w:r>
                              <w:rPr>
                                <w:b/>
                                <w:bCs/>
                                <w:sz w:val="20"/>
                                <w:szCs w:val="20"/>
                                <w:lang w:val="en"/>
                              </w:rPr>
                              <w:t>US$ 61</w:t>
                            </w:r>
                            <w:proofErr w:type="gramStart"/>
                            <w:r>
                              <w:rPr>
                                <w:b/>
                                <w:bCs/>
                                <w:sz w:val="20"/>
                                <w:szCs w:val="20"/>
                                <w:lang w:val="en"/>
                              </w:rPr>
                              <w:t>,5</w:t>
                            </w:r>
                            <w:proofErr w:type="gramEnd"/>
                            <w:r>
                              <w:rPr>
                                <w:b/>
                                <w:bCs/>
                                <w:sz w:val="20"/>
                                <w:szCs w:val="20"/>
                                <w:lang w:val="en"/>
                              </w:rPr>
                              <w:t xml:space="preserve"> billion</w:t>
                            </w:r>
                          </w:p>
                          <w:p w:rsidR="00F00D95" w:rsidRPr="00262AAA" w:rsidRDefault="00E3189B">
                            <w:pPr>
                              <w:pStyle w:val="FrameContents"/>
                              <w:spacing w:after="0" w:line="240" w:lineRule="auto"/>
                              <w:jc w:val="center"/>
                              <w:rPr>
                                <w:lang w:val="en-US"/>
                              </w:rPr>
                            </w:pPr>
                            <w:r>
                              <w:rPr>
                                <w:sz w:val="20"/>
                                <w:szCs w:val="20"/>
                                <w:lang w:val="en"/>
                              </w:rPr>
                              <w:t xml:space="preserve">Annual variation 2021x2020 in US$: </w:t>
                            </w:r>
                            <w:r>
                              <w:rPr>
                                <w:rFonts w:ascii="Arial" w:hAnsi="Arial" w:cs="Arial"/>
                                <w:color w:val="70AD47" w:themeColor="accent6"/>
                                <w:sz w:val="20"/>
                                <w:szCs w:val="20"/>
                                <w:lang w:val="en"/>
                              </w:rPr>
                              <w:t>▲</w:t>
                            </w:r>
                            <w:r>
                              <w:rPr>
                                <w:rFonts w:ascii="Arial" w:hAnsi="Arial" w:cs="Arial"/>
                                <w:b/>
                                <w:bCs/>
                                <w:color w:val="000000" w:themeColor="text1"/>
                                <w:sz w:val="20"/>
                                <w:szCs w:val="20"/>
                                <w:lang w:val="en"/>
                              </w:rPr>
                              <w:t>+ 20</w:t>
                            </w:r>
                            <w:proofErr w:type="gramStart"/>
                            <w:r>
                              <w:rPr>
                                <w:rFonts w:ascii="Arial" w:hAnsi="Arial" w:cs="Arial"/>
                                <w:b/>
                                <w:bCs/>
                                <w:color w:val="000000" w:themeColor="text1"/>
                                <w:sz w:val="20"/>
                                <w:szCs w:val="20"/>
                                <w:lang w:val="en"/>
                              </w:rPr>
                              <w:t>,8</w:t>
                            </w:r>
                            <w:proofErr w:type="gramEnd"/>
                            <w:r>
                              <w:rPr>
                                <w:rFonts w:ascii="Arial" w:hAnsi="Arial" w:cs="Arial"/>
                                <w:b/>
                                <w:bCs/>
                                <w:color w:val="000000" w:themeColor="text1"/>
                                <w:sz w:val="20"/>
                                <w:szCs w:val="20"/>
                                <w:lang w:val="en"/>
                              </w:rPr>
                              <w:t>%</w:t>
                            </w:r>
                          </w:p>
                        </w:txbxContent>
                      </wps:txbx>
                      <wps:bodyPr>
                        <a:noAutofit/>
                      </wps:bodyPr>
                    </wps:wsp>
                  </a:graphicData>
                </a:graphic>
              </wp:anchor>
            </w:drawing>
          </mc:Choice>
          <mc:Fallback>
            <w:pict>
              <v:rect id="shape_0" ID="Caixa de Texto 2" fillcolor="#f2f2f2" stroked="f" style="position:absolute;margin-left:107.5pt;margin-top:3.3pt;width:220.45pt;height:31.45pt;mso-position-horizontal-relative:margin">
                <w10:wrap type="square"/>
                <v:fill o:detectmouseclick="t" type="solid" color2="#0d0d0d"/>
                <v:stroke color="#3465a4" weight="9360" joinstyle="miter" endcap="flat"/>
                <v:textbox>
                  <w:txbxContent>
                    <w:p>
                      <w:pPr>
                        <w:pStyle w:val="FrameContents"/>
                        <w:bidi w:val="0"/>
                        <w:spacing w:lineRule="auto" w:line="240" w:before="0" w:after="0"/>
                        <w:jc w:val="center"/>
                        <w:rPr>
                          <w:sz w:val="20"/>
                          <w:szCs w:val="20"/>
                        </w:rPr>
                      </w:pPr>
                      <w:r>
                        <w:rPr>
                          <w:sz w:val="20"/>
                          <w:szCs w:val="20"/>
                          <w:lang w:val="en"/>
                        </w:rPr>
                        <w:t xml:space="preserve">Aggregate in 2021: </w:t>
                      </w:r>
                      <w:r>
                        <w:rPr>
                          <w:b/>
                          <w:bCs/>
                          <w:sz w:val="20"/>
                          <w:szCs w:val="20"/>
                          <w:lang w:val="en"/>
                        </w:rPr>
                        <w:t>US$ 61,5 billion</w:t>
                      </w:r>
                    </w:p>
                    <w:p>
                      <w:pPr>
                        <w:pStyle w:val="FrameContents"/>
                        <w:bidi w:val="0"/>
                        <w:spacing w:lineRule="auto" w:line="240" w:before="0" w:after="0"/>
                        <w:jc w:val="center"/>
                        <w:rPr/>
                      </w:pPr>
                      <w:r>
                        <w:rPr>
                          <w:sz w:val="20"/>
                          <w:szCs w:val="20"/>
                          <w:lang w:val="en"/>
                        </w:rPr>
                        <w:t xml:space="preserve">Annual variation 2021x2020 in US$: </w:t>
                      </w:r>
                      <w:r>
                        <w:rPr>
                          <w:rFonts w:cs="Arial" w:ascii="Arial" w:hAnsi="Arial"/>
                          <w:color w:val="70AD47" w:themeColor="accent6"/>
                          <w:sz w:val="20"/>
                          <w:szCs w:val="20"/>
                          <w:lang w:val="en"/>
                        </w:rPr>
                        <w:t>▲</w:t>
                      </w:r>
                      <w:r>
                        <w:rPr>
                          <w:rFonts w:cs="Arial" w:ascii="Arial" w:hAnsi="Arial"/>
                          <w:b/>
                          <w:bCs/>
                          <w:color w:val="000000" w:themeColor="text1"/>
                          <w:sz w:val="20"/>
                          <w:szCs w:val="20"/>
                          <w:lang w:val="en"/>
                        </w:rPr>
                        <w:t>+ 20,8%</w:t>
                      </w:r>
                    </w:p>
                  </w:txbxContent>
                </v:textbox>
              </v:rect>
            </w:pict>
          </mc:Fallback>
        </mc:AlternateContent>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r>
        <w:rPr>
          <w:rStyle w:val="FootnoteAnchor"/>
          <w:sz w:val="20"/>
          <w:szCs w:val="20"/>
        </w:rPr>
        <w:footnoteReference w:id="1"/>
      </w:r>
    </w:p>
    <w:p w:rsidR="00F00D95" w:rsidRPr="00262AAA" w:rsidRDefault="00E3189B">
      <w:pPr>
        <w:ind w:firstLine="708"/>
        <w:jc w:val="both"/>
        <w:rPr>
          <w:color w:val="FF0000"/>
          <w:sz w:val="24"/>
          <w:szCs w:val="24"/>
          <w:lang w:val="en-US"/>
        </w:rPr>
      </w:pPr>
      <w:r>
        <w:rPr>
          <w:color w:val="000000" w:themeColor="text1"/>
          <w:sz w:val="24"/>
          <w:szCs w:val="24"/>
          <w:lang w:val="en"/>
        </w:rPr>
        <w:t>The outcome of the agribusiness trade balance showed surpluses in the entire period between June 2020 and June 2021, different from the outcome of the trade balance of the other products that recorded continuous deficits. In June 2021, the surplus of the agribusiness trade balance was US$ 10.8 billion, while the deficit of the other products was approximately US$ 600 million, with this, the total outcome of Brazil's trade balance was positive at US$ 10.3 billion. Agribusiness exports represented 43.1% of the total exported by Brazil in June 2021.</w:t>
      </w:r>
    </w:p>
    <w:p w:rsidR="00F00D95" w:rsidRPr="00262AAA" w:rsidRDefault="00E3189B">
      <w:pPr>
        <w:keepNext/>
        <w:spacing w:after="0"/>
        <w:jc w:val="center"/>
        <w:rPr>
          <w:i/>
          <w:iCs/>
          <w:color w:val="000000" w:themeColor="text1"/>
          <w:sz w:val="24"/>
          <w:szCs w:val="24"/>
          <w:lang w:val="en-US"/>
        </w:rPr>
      </w:pPr>
      <w:r>
        <w:rPr>
          <w:i/>
          <w:iCs/>
          <w:color w:val="000000" w:themeColor="text1"/>
          <w:sz w:val="24"/>
          <w:szCs w:val="24"/>
          <w:lang w:val="en"/>
        </w:rPr>
        <w:lastRenderedPageBreak/>
        <w:t>Chart 2 – Evolution of the Brazilian Trade Balance Outcome (in US$ billion)</w:t>
      </w:r>
    </w:p>
    <w:p w:rsidR="00F00D95" w:rsidRDefault="00E3189B">
      <w:pPr>
        <w:spacing w:after="0"/>
        <w:jc w:val="center"/>
        <w:rPr>
          <w:i/>
          <w:iCs/>
          <w:sz w:val="24"/>
          <w:szCs w:val="24"/>
        </w:rPr>
      </w:pPr>
      <w:r>
        <w:rPr>
          <w:noProof/>
          <w:lang w:eastAsia="pt-BR"/>
        </w:rPr>
        <w:drawing>
          <wp:inline distT="0" distB="4445" distL="0" distR="0">
            <wp:extent cx="5697855" cy="3138805"/>
            <wp:effectExtent l="0" t="0" r="0" b="0"/>
            <wp:docPr id="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1"/>
                    <pic:cNvPicPr>
                      <a:picLocks noChangeAspect="1" noChangeArrowheads="1"/>
                    </pic:cNvPicPr>
                  </pic:nvPicPr>
                  <pic:blipFill>
                    <a:blip r:embed="rId12"/>
                    <a:stretch>
                      <a:fillRect/>
                    </a:stretch>
                  </pic:blipFill>
                  <pic:spPr bwMode="auto">
                    <a:xfrm>
                      <a:off x="0" y="0"/>
                      <a:ext cx="5697855" cy="3138805"/>
                    </a:xfrm>
                    <a:prstGeom prst="rect">
                      <a:avLst/>
                    </a:prstGeom>
                  </pic:spPr>
                </pic:pic>
              </a:graphicData>
            </a:graphic>
          </wp:inline>
        </w:drawing>
      </w:r>
    </w:p>
    <w:p w:rsidR="00F00D95" w:rsidRPr="00262AAA" w:rsidRDefault="00E3189B">
      <w:pPr>
        <w:spacing w:line="240" w:lineRule="auto"/>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jc w:val="center"/>
        <w:rPr>
          <w:b/>
          <w:bCs/>
          <w:sz w:val="24"/>
          <w:szCs w:val="24"/>
          <w:lang w:val="en-US"/>
        </w:rPr>
      </w:pPr>
      <w:r>
        <w:rPr>
          <w:b/>
          <w:bCs/>
          <w:noProof/>
          <w:sz w:val="24"/>
          <w:szCs w:val="24"/>
          <w:lang w:eastAsia="pt-BR"/>
        </w:rPr>
        <mc:AlternateContent>
          <mc:Choice Requires="wps">
            <w:drawing>
              <wp:anchor distT="0" distB="0" distL="114300" distR="114300" simplePos="0" relativeHeight="3" behindDoc="0" locked="0" layoutInCell="1" allowOverlap="1">
                <wp:simplePos x="0" y="0"/>
                <wp:positionH relativeFrom="margin">
                  <wp:align>left</wp:align>
                </wp:positionH>
                <wp:positionV relativeFrom="paragraph">
                  <wp:posOffset>208915</wp:posOffset>
                </wp:positionV>
                <wp:extent cx="5374640" cy="10160"/>
                <wp:effectExtent l="0" t="0" r="36195" b="28575"/>
                <wp:wrapNone/>
                <wp:docPr id="6" name="Conector reto 24"/>
                <wp:cNvGraphicFramePr/>
                <a:graphic xmlns:a="http://schemas.openxmlformats.org/drawingml/2006/main">
                  <a:graphicData uri="http://schemas.microsoft.com/office/word/2010/wordprocessingShape">
                    <wps:wsp>
                      <wps:cNvCnPr/>
                      <wps:spPr>
                        <a:xfrm>
                          <a:off x="0" y="0"/>
                          <a:ext cx="5374080" cy="9360"/>
                        </a:xfrm>
                        <a:prstGeom prst="line">
                          <a:avLst/>
                        </a:prstGeom>
                        <a:ln/>
                      </wps:spPr>
                      <wps:style>
                        <a:lnRef idx="3">
                          <a:schemeClr val="dk1"/>
                        </a:lnRef>
                        <a:fillRef idx="0">
                          <a:schemeClr val="dk1"/>
                        </a:fillRef>
                        <a:effectRef idx="2">
                          <a:schemeClr val="dk1"/>
                        </a:effectRef>
                        <a:fontRef idx="minor"/>
                      </wps:style>
                      <wps:bodyPr/>
                    </wps:wsp>
                  </a:graphicData>
                </a:graphic>
              </wp:anchor>
            </w:drawing>
          </mc:Choice>
          <mc:Fallback>
            <w:pict>
              <v:line id="shape_0" from="9pt,16.1pt" to="432.1pt,16.8pt" ID="Conector reto 24" stroked="t" style="position:absolute;mso-position-horizontal:left;mso-position-horizontal-relative:margin">
                <v:stroke color="black" weight="19080" joinstyle="miter" endcap="flat"/>
                <v:fill o:detectmouseclick="t" on="false"/>
              </v:line>
            </w:pict>
          </mc:Fallback>
        </mc:AlternateContent>
      </w:r>
    </w:p>
    <w:p w:rsidR="00F00D95" w:rsidRPr="00262AAA" w:rsidRDefault="00E3189B">
      <w:pPr>
        <w:jc w:val="both"/>
        <w:rPr>
          <w:rFonts w:cstheme="minorHAnsi"/>
          <w:b/>
          <w:bCs/>
          <w:color w:val="000000" w:themeColor="text1"/>
          <w:sz w:val="24"/>
          <w:szCs w:val="24"/>
          <w:lang w:val="en-US"/>
        </w:rPr>
      </w:pPr>
      <w:r>
        <w:rPr>
          <w:rFonts w:cstheme="minorHAnsi"/>
          <w:b/>
          <w:bCs/>
          <w:color w:val="000000" w:themeColor="text1"/>
          <w:sz w:val="24"/>
          <w:szCs w:val="24"/>
          <w:lang w:val="en"/>
        </w:rPr>
        <w:t>Analysis of Brazilian Agribusiness Exports – by product and destination</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main product of the Brazilian agribusiness export agenda in June 2021 was </w:t>
      </w:r>
      <w:r>
        <w:rPr>
          <w:b/>
          <w:bCs/>
          <w:color w:val="000000" w:themeColor="text1"/>
          <w:sz w:val="24"/>
          <w:szCs w:val="24"/>
          <w:lang w:val="en"/>
        </w:rPr>
        <w:t>soybean grains</w:t>
      </w:r>
      <w:r>
        <w:rPr>
          <w:color w:val="000000" w:themeColor="text1"/>
          <w:sz w:val="24"/>
          <w:szCs w:val="24"/>
          <w:lang w:val="en"/>
        </w:rPr>
        <w:t xml:space="preserve">, which had a share of 43.8%, reaching a value of US$ 5.3 billion, with an increase of 23.4% compared to the same period of 2020. </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second main product was </w:t>
      </w:r>
      <w:r>
        <w:rPr>
          <w:b/>
          <w:bCs/>
          <w:color w:val="000000" w:themeColor="text1"/>
          <w:sz w:val="24"/>
          <w:szCs w:val="24"/>
          <w:lang w:val="en"/>
        </w:rPr>
        <w:t>raw cane sugar</w:t>
      </w:r>
      <w:r>
        <w:rPr>
          <w:color w:val="000000" w:themeColor="text1"/>
          <w:sz w:val="24"/>
          <w:szCs w:val="24"/>
          <w:lang w:val="en"/>
        </w:rPr>
        <w:t xml:space="preserve">, with 30.1% growth compared to June 2020 and reaching the value of US$ 821.9 million in the sixth month of 2021.  </w:t>
      </w:r>
    </w:p>
    <w:p w:rsidR="00F00D95" w:rsidRPr="00262AAA" w:rsidRDefault="00E3189B">
      <w:pPr>
        <w:ind w:firstLine="708"/>
        <w:jc w:val="both"/>
        <w:rPr>
          <w:color w:val="FF0000"/>
          <w:sz w:val="24"/>
          <w:szCs w:val="24"/>
          <w:lang w:val="en-US"/>
        </w:rPr>
      </w:pPr>
      <w:r>
        <w:rPr>
          <w:color w:val="000000" w:themeColor="text1"/>
          <w:sz w:val="24"/>
          <w:szCs w:val="24"/>
          <w:lang w:val="en"/>
        </w:rPr>
        <w:t>Table 1 presents information on the main agribusiness products exported by Brazil.</w:t>
      </w:r>
    </w:p>
    <w:p w:rsidR="00F00D95" w:rsidRDefault="00E3189B">
      <w:pPr>
        <w:keepNext/>
        <w:jc w:val="center"/>
        <w:rPr>
          <w:i/>
          <w:iCs/>
          <w:color w:val="000000" w:themeColor="text1"/>
          <w:sz w:val="24"/>
          <w:szCs w:val="24"/>
        </w:rPr>
      </w:pPr>
      <w:r>
        <w:rPr>
          <w:i/>
          <w:iCs/>
          <w:color w:val="000000" w:themeColor="text1"/>
          <w:sz w:val="24"/>
          <w:szCs w:val="24"/>
          <w:lang w:val="en"/>
        </w:rPr>
        <w:lastRenderedPageBreak/>
        <w:t>Table 1 – Main Exported Agribusiness Products</w:t>
      </w:r>
    </w:p>
    <w:p w:rsidR="00F00D95" w:rsidRDefault="00E3189B">
      <w:pPr>
        <w:spacing w:after="0"/>
        <w:jc w:val="center"/>
        <w:rPr>
          <w:b/>
          <w:bCs/>
          <w:sz w:val="24"/>
          <w:szCs w:val="24"/>
        </w:rPr>
      </w:pPr>
      <w:r>
        <w:rPr>
          <w:noProof/>
          <w:lang w:eastAsia="pt-BR"/>
        </w:rPr>
        <w:drawing>
          <wp:inline distT="0" distB="1905" distL="0" distR="2540">
            <wp:extent cx="5941060" cy="3255645"/>
            <wp:effectExtent l="0" t="0" r="0" b="0"/>
            <wp:docPr id="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3"/>
                    <pic:cNvPicPr>
                      <a:picLocks noChangeAspect="1" noChangeArrowheads="1"/>
                    </pic:cNvPicPr>
                  </pic:nvPicPr>
                  <pic:blipFill>
                    <a:blip r:embed="rId13"/>
                    <a:stretch>
                      <a:fillRect/>
                    </a:stretch>
                  </pic:blipFill>
                  <pic:spPr bwMode="auto">
                    <a:xfrm>
                      <a:off x="0" y="0"/>
                      <a:ext cx="5941060" cy="3255645"/>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most significant increases between June 2020 and 2021 were recorded for </w:t>
      </w:r>
      <w:r>
        <w:rPr>
          <w:b/>
          <w:bCs/>
          <w:color w:val="000000" w:themeColor="text1"/>
          <w:sz w:val="24"/>
          <w:szCs w:val="24"/>
          <w:lang w:val="en"/>
        </w:rPr>
        <w:t xml:space="preserve">plywood </w:t>
      </w:r>
      <w:r>
        <w:rPr>
          <w:color w:val="000000" w:themeColor="text1"/>
          <w:sz w:val="24"/>
          <w:szCs w:val="24"/>
          <w:lang w:val="en"/>
        </w:rPr>
        <w:t xml:space="preserve">(+291.3%), which increased from US$ 37.5 million in 2020 to US$ 146.9 million in 2021; and </w:t>
      </w:r>
      <w:r>
        <w:rPr>
          <w:b/>
          <w:bCs/>
          <w:color w:val="000000" w:themeColor="text1"/>
          <w:sz w:val="24"/>
          <w:szCs w:val="24"/>
          <w:lang w:val="en"/>
        </w:rPr>
        <w:t xml:space="preserve">cotton, not carded or combed </w:t>
      </w:r>
      <w:r>
        <w:rPr>
          <w:color w:val="000000" w:themeColor="text1"/>
          <w:sz w:val="24"/>
          <w:szCs w:val="24"/>
          <w:lang w:val="en"/>
        </w:rPr>
        <w:t xml:space="preserve">(+111.4%), of which exports in June 2020 were US$ 83.7 million and reached US$ 177.0 million in June 2021. In addition, </w:t>
      </w:r>
      <w:r>
        <w:rPr>
          <w:b/>
          <w:bCs/>
          <w:color w:val="000000" w:themeColor="text1"/>
          <w:sz w:val="24"/>
          <w:szCs w:val="24"/>
          <w:lang w:val="en"/>
        </w:rPr>
        <w:t xml:space="preserve">chicken meat in </w:t>
      </w:r>
      <w:proofErr w:type="spellStart"/>
      <w:proofErr w:type="gramStart"/>
      <w:r>
        <w:rPr>
          <w:b/>
          <w:bCs/>
          <w:color w:val="000000" w:themeColor="text1"/>
          <w:sz w:val="24"/>
          <w:szCs w:val="24"/>
          <w:lang w:val="en"/>
        </w:rPr>
        <w:t>natura</w:t>
      </w:r>
      <w:proofErr w:type="spellEnd"/>
      <w:r>
        <w:rPr>
          <w:b/>
          <w:bCs/>
          <w:color w:val="000000" w:themeColor="text1"/>
          <w:sz w:val="24"/>
          <w:szCs w:val="24"/>
          <w:lang w:val="en"/>
        </w:rPr>
        <w:t xml:space="preserve"> </w:t>
      </w:r>
      <w:r>
        <w:rPr>
          <w:color w:val="000000" w:themeColor="text1"/>
          <w:sz w:val="24"/>
          <w:szCs w:val="24"/>
          <w:lang w:val="en"/>
        </w:rPr>
        <w:t xml:space="preserve"> also</w:t>
      </w:r>
      <w:proofErr w:type="gramEnd"/>
      <w:r>
        <w:rPr>
          <w:color w:val="000000" w:themeColor="text1"/>
          <w:sz w:val="24"/>
          <w:szCs w:val="24"/>
          <w:lang w:val="en"/>
        </w:rPr>
        <w:t xml:space="preserve"> increased 46.3% in its exported value.</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In June 2021, 74.1% of foreign sales were absorbed by the top ten destinations. Among them, the main one is </w:t>
      </w:r>
      <w:r>
        <w:rPr>
          <w:b/>
          <w:bCs/>
          <w:color w:val="000000" w:themeColor="text1"/>
          <w:sz w:val="24"/>
          <w:szCs w:val="24"/>
          <w:lang w:val="en"/>
        </w:rPr>
        <w:t>China</w:t>
      </w:r>
      <w:r>
        <w:rPr>
          <w:color w:val="000000" w:themeColor="text1"/>
          <w:sz w:val="24"/>
          <w:szCs w:val="24"/>
          <w:lang w:val="en"/>
        </w:rPr>
        <w:t xml:space="preserve">, with a 38.7% share of Brazilian agribusiness exports. A </w:t>
      </w:r>
      <w:r>
        <w:rPr>
          <w:b/>
          <w:bCs/>
          <w:color w:val="000000" w:themeColor="text1"/>
          <w:sz w:val="24"/>
          <w:szCs w:val="24"/>
          <w:lang w:val="en"/>
        </w:rPr>
        <w:t>European Union</w:t>
      </w:r>
      <w:r>
        <w:rPr>
          <w:color w:val="000000" w:themeColor="text1"/>
          <w:sz w:val="24"/>
          <w:szCs w:val="24"/>
          <w:lang w:val="en"/>
        </w:rPr>
        <w:t xml:space="preserve">, second main destination, corresponded to 15.7%, and the </w:t>
      </w:r>
      <w:r>
        <w:rPr>
          <w:b/>
          <w:bCs/>
          <w:color w:val="000000" w:themeColor="text1"/>
          <w:sz w:val="24"/>
          <w:szCs w:val="24"/>
          <w:lang w:val="en"/>
        </w:rPr>
        <w:t>United States</w:t>
      </w:r>
      <w:r>
        <w:rPr>
          <w:color w:val="000000" w:themeColor="text1"/>
          <w:sz w:val="24"/>
          <w:szCs w:val="24"/>
          <w:lang w:val="en"/>
        </w:rPr>
        <w:t xml:space="preserve"> they were in the third position, with a share of 6.1%. </w:t>
      </w:r>
      <w:r>
        <w:rPr>
          <w:b/>
          <w:bCs/>
          <w:color w:val="000000" w:themeColor="text1"/>
          <w:sz w:val="24"/>
          <w:szCs w:val="24"/>
          <w:lang w:val="en"/>
        </w:rPr>
        <w:t>Thailand</w:t>
      </w:r>
      <w:r>
        <w:rPr>
          <w:color w:val="000000" w:themeColor="text1"/>
          <w:sz w:val="24"/>
          <w:szCs w:val="24"/>
          <w:lang w:val="en"/>
        </w:rPr>
        <w:t xml:space="preserve"> (2</w:t>
      </w:r>
      <w:proofErr w:type="gramStart"/>
      <w:r>
        <w:rPr>
          <w:color w:val="000000" w:themeColor="text1"/>
          <w:sz w:val="24"/>
          <w:szCs w:val="24"/>
          <w:lang w:val="en"/>
        </w:rPr>
        <w:t>,7</w:t>
      </w:r>
      <w:proofErr w:type="gramEnd"/>
      <w:r>
        <w:rPr>
          <w:color w:val="000000" w:themeColor="text1"/>
          <w:sz w:val="24"/>
          <w:szCs w:val="24"/>
          <w:lang w:val="en"/>
        </w:rPr>
        <w:t xml:space="preserve">%); </w:t>
      </w:r>
      <w:r>
        <w:rPr>
          <w:b/>
          <w:bCs/>
          <w:color w:val="000000" w:themeColor="text1"/>
          <w:sz w:val="24"/>
          <w:szCs w:val="24"/>
          <w:lang w:val="en"/>
        </w:rPr>
        <w:t>Turkey</w:t>
      </w:r>
      <w:r>
        <w:rPr>
          <w:color w:val="000000" w:themeColor="text1"/>
          <w:sz w:val="24"/>
          <w:szCs w:val="24"/>
          <w:lang w:val="en"/>
        </w:rPr>
        <w:t xml:space="preserve"> (2,3%); </w:t>
      </w:r>
      <w:r>
        <w:rPr>
          <w:b/>
          <w:bCs/>
          <w:color w:val="000000" w:themeColor="text1"/>
          <w:sz w:val="24"/>
          <w:szCs w:val="24"/>
          <w:lang w:val="en"/>
        </w:rPr>
        <w:t>South Korea</w:t>
      </w:r>
      <w:r>
        <w:rPr>
          <w:color w:val="000000" w:themeColor="text1"/>
          <w:sz w:val="24"/>
          <w:szCs w:val="24"/>
          <w:lang w:val="en"/>
        </w:rPr>
        <w:t xml:space="preserve"> (2,1%); </w:t>
      </w:r>
      <w:r>
        <w:rPr>
          <w:b/>
          <w:bCs/>
          <w:color w:val="000000" w:themeColor="text1"/>
          <w:sz w:val="24"/>
          <w:szCs w:val="24"/>
          <w:lang w:val="en"/>
        </w:rPr>
        <w:t xml:space="preserve">Mexico </w:t>
      </w:r>
      <w:r>
        <w:rPr>
          <w:color w:val="000000" w:themeColor="text1"/>
          <w:sz w:val="24"/>
          <w:szCs w:val="24"/>
          <w:lang w:val="en"/>
        </w:rPr>
        <w:t xml:space="preserve">(1,9%); </w:t>
      </w:r>
      <w:r>
        <w:rPr>
          <w:b/>
          <w:bCs/>
          <w:color w:val="000000" w:themeColor="text1"/>
          <w:sz w:val="24"/>
          <w:szCs w:val="24"/>
          <w:lang w:val="en"/>
        </w:rPr>
        <w:t>Taiwan</w:t>
      </w:r>
      <w:r>
        <w:rPr>
          <w:color w:val="000000" w:themeColor="text1"/>
          <w:sz w:val="24"/>
          <w:szCs w:val="24"/>
          <w:lang w:val="en"/>
        </w:rPr>
        <w:t xml:space="preserve"> (1,7%); </w:t>
      </w:r>
      <w:r>
        <w:rPr>
          <w:b/>
          <w:bCs/>
          <w:color w:val="000000" w:themeColor="text1"/>
          <w:sz w:val="24"/>
          <w:szCs w:val="24"/>
          <w:lang w:val="en"/>
        </w:rPr>
        <w:t>Iran</w:t>
      </w:r>
      <w:r>
        <w:rPr>
          <w:color w:val="000000" w:themeColor="text1"/>
          <w:sz w:val="24"/>
          <w:szCs w:val="24"/>
          <w:lang w:val="en"/>
        </w:rPr>
        <w:t xml:space="preserve"> (1,6%); and </w:t>
      </w:r>
      <w:r>
        <w:rPr>
          <w:b/>
          <w:bCs/>
          <w:color w:val="000000" w:themeColor="text1"/>
          <w:sz w:val="24"/>
          <w:szCs w:val="24"/>
          <w:lang w:val="en"/>
        </w:rPr>
        <w:t>Bangladesh</w:t>
      </w:r>
      <w:r>
        <w:rPr>
          <w:color w:val="000000" w:themeColor="text1"/>
          <w:sz w:val="24"/>
          <w:szCs w:val="24"/>
          <w:lang w:val="en"/>
        </w:rPr>
        <w:t xml:space="preserve"> (1,5%) complete the list of top destinations.  </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In the comparison between June 2021 and the same period of 2020, there was an increase in exports to all the main destinations, with highlight to the performance of </w:t>
      </w:r>
      <w:r>
        <w:rPr>
          <w:b/>
          <w:bCs/>
          <w:color w:val="000000" w:themeColor="text1"/>
          <w:sz w:val="24"/>
          <w:szCs w:val="24"/>
          <w:lang w:val="en"/>
        </w:rPr>
        <w:t xml:space="preserve">Taiwan </w:t>
      </w:r>
      <w:r>
        <w:rPr>
          <w:color w:val="000000" w:themeColor="text1"/>
          <w:sz w:val="24"/>
          <w:szCs w:val="24"/>
          <w:lang w:val="en"/>
        </w:rPr>
        <w:t xml:space="preserve">(+131.9%) and </w:t>
      </w:r>
      <w:r>
        <w:rPr>
          <w:b/>
          <w:bCs/>
          <w:color w:val="000000" w:themeColor="text1"/>
          <w:sz w:val="24"/>
          <w:szCs w:val="24"/>
          <w:lang w:val="en"/>
        </w:rPr>
        <w:t>Mexico</w:t>
      </w:r>
      <w:r>
        <w:rPr>
          <w:color w:val="000000" w:themeColor="text1"/>
          <w:sz w:val="24"/>
          <w:szCs w:val="24"/>
          <w:lang w:val="en"/>
        </w:rPr>
        <w:t xml:space="preserve"> (+117</w:t>
      </w:r>
      <w:proofErr w:type="gramStart"/>
      <w:r>
        <w:rPr>
          <w:color w:val="000000" w:themeColor="text1"/>
          <w:sz w:val="24"/>
          <w:szCs w:val="24"/>
          <w:lang w:val="en"/>
        </w:rPr>
        <w:t>,2</w:t>
      </w:r>
      <w:proofErr w:type="gramEnd"/>
      <w:r>
        <w:rPr>
          <w:color w:val="000000" w:themeColor="text1"/>
          <w:sz w:val="24"/>
          <w:szCs w:val="24"/>
          <w:lang w:val="en"/>
        </w:rPr>
        <w:t>%)</w:t>
      </w:r>
      <w:r>
        <w:rPr>
          <w:sz w:val="24"/>
          <w:szCs w:val="24"/>
          <w:lang w:val="en"/>
        </w:rPr>
        <w:t>, especially for soybean grains (+US$ 129.2 mi and +US$ 98.3 mi, respectively)</w:t>
      </w:r>
      <w:r>
        <w:rPr>
          <w:color w:val="000000" w:themeColor="text1"/>
          <w:sz w:val="24"/>
          <w:szCs w:val="24"/>
          <w:lang w:val="en"/>
        </w:rPr>
        <w:t xml:space="preserve">. When considering the aggregate in the first half of 2021, the greatest positive change compared to the same period of 2020 occurred in exports to </w:t>
      </w:r>
      <w:r>
        <w:rPr>
          <w:b/>
          <w:bCs/>
          <w:color w:val="000000" w:themeColor="text1"/>
          <w:sz w:val="24"/>
          <w:szCs w:val="24"/>
          <w:lang w:val="en"/>
        </w:rPr>
        <w:t>Iran</w:t>
      </w:r>
      <w:r>
        <w:rPr>
          <w:color w:val="000000" w:themeColor="text1"/>
          <w:sz w:val="24"/>
          <w:szCs w:val="24"/>
          <w:lang w:val="en"/>
        </w:rPr>
        <w:t xml:space="preserve"> (+154.8%), followed by the increase to </w:t>
      </w:r>
      <w:r>
        <w:rPr>
          <w:b/>
          <w:bCs/>
          <w:color w:val="000000" w:themeColor="text1"/>
          <w:sz w:val="24"/>
          <w:szCs w:val="24"/>
          <w:lang w:val="en"/>
        </w:rPr>
        <w:t>Mexico</w:t>
      </w:r>
      <w:r>
        <w:rPr>
          <w:color w:val="000000" w:themeColor="text1"/>
          <w:sz w:val="24"/>
          <w:szCs w:val="24"/>
          <w:lang w:val="en"/>
        </w:rPr>
        <w:t xml:space="preserve"> (+51.0%) and to </w:t>
      </w:r>
      <w:r>
        <w:rPr>
          <w:b/>
          <w:bCs/>
          <w:color w:val="000000" w:themeColor="text1"/>
          <w:sz w:val="24"/>
          <w:szCs w:val="24"/>
          <w:lang w:val="en"/>
        </w:rPr>
        <w:t>Thailand</w:t>
      </w:r>
      <w:r>
        <w:rPr>
          <w:color w:val="000000" w:themeColor="text1"/>
          <w:sz w:val="24"/>
          <w:szCs w:val="24"/>
          <w:lang w:val="en"/>
        </w:rPr>
        <w:t xml:space="preserve"> (+37.1%), all with significant increases in purchases of soybean grains (+US$ 181 mi, US$ 171.8 mi and + US$ 192.4 mi, respectively)</w:t>
      </w:r>
    </w:p>
    <w:p w:rsidR="00F00D95" w:rsidRPr="00262AAA" w:rsidRDefault="00E3189B">
      <w:pPr>
        <w:keepNext/>
        <w:spacing w:after="0"/>
        <w:jc w:val="center"/>
        <w:rPr>
          <w:i/>
          <w:iCs/>
          <w:color w:val="000000" w:themeColor="text1"/>
          <w:sz w:val="24"/>
          <w:szCs w:val="24"/>
          <w:lang w:val="en-US"/>
        </w:rPr>
      </w:pPr>
      <w:r>
        <w:rPr>
          <w:i/>
          <w:iCs/>
          <w:color w:val="000000" w:themeColor="text1"/>
          <w:sz w:val="24"/>
          <w:szCs w:val="24"/>
          <w:lang w:val="en"/>
        </w:rPr>
        <w:lastRenderedPageBreak/>
        <w:t>Figure 1 – Main Export Destinations of Brazilian Agribusiness in June 2021</w:t>
      </w:r>
    </w:p>
    <w:p w:rsidR="00F00D95" w:rsidRDefault="00E3189B">
      <w:pPr>
        <w:spacing w:after="0"/>
        <w:jc w:val="center"/>
        <w:rPr>
          <w:b/>
          <w:bCs/>
          <w:sz w:val="24"/>
          <w:szCs w:val="24"/>
        </w:rPr>
      </w:pPr>
      <w:r>
        <w:rPr>
          <w:noProof/>
          <w:lang w:eastAsia="pt-BR"/>
        </w:rPr>
        <w:drawing>
          <wp:inline distT="0" distB="0" distL="0" distR="0">
            <wp:extent cx="5941060" cy="3224530"/>
            <wp:effectExtent l="0" t="0" r="0" b="0"/>
            <wp:docPr id="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6"/>
                    <pic:cNvPicPr>
                      <a:picLocks noChangeAspect="1" noChangeArrowheads="1"/>
                    </pic:cNvPicPr>
                  </pic:nvPicPr>
                  <pic:blipFill>
                    <a:blip r:embed="rId14"/>
                    <a:stretch>
                      <a:fillRect/>
                    </a:stretch>
                  </pic:blipFill>
                  <pic:spPr bwMode="auto">
                    <a:xfrm>
                      <a:off x="0" y="0"/>
                      <a:ext cx="5941060" cy="322453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F00D95">
      <w:pPr>
        <w:spacing w:after="0"/>
        <w:jc w:val="center"/>
        <w:rPr>
          <w:b/>
          <w:bCs/>
          <w:sz w:val="24"/>
          <w:szCs w:val="24"/>
          <w:lang w:val="en-US"/>
        </w:rPr>
      </w:pPr>
    </w:p>
    <w:p w:rsidR="00F00D95" w:rsidRPr="00262AAA" w:rsidRDefault="00E3189B">
      <w:pPr>
        <w:ind w:firstLine="708"/>
        <w:jc w:val="both"/>
        <w:rPr>
          <w:color w:val="FF0000"/>
          <w:sz w:val="24"/>
          <w:szCs w:val="24"/>
          <w:lang w:val="en-US"/>
        </w:rPr>
      </w:pPr>
      <w:r>
        <w:rPr>
          <w:color w:val="000000" w:themeColor="text1"/>
          <w:sz w:val="24"/>
          <w:szCs w:val="24"/>
          <w:lang w:val="en"/>
        </w:rPr>
        <w:t xml:space="preserve">In June 2021, 91.6% of the total US$ 4.7 billion exported to China concentrated on five products: </w:t>
      </w:r>
      <w:r>
        <w:rPr>
          <w:b/>
          <w:bCs/>
          <w:color w:val="000000" w:themeColor="text1"/>
          <w:sz w:val="24"/>
          <w:szCs w:val="24"/>
          <w:lang w:val="en"/>
        </w:rPr>
        <w:t xml:space="preserve">soybean grains </w:t>
      </w:r>
      <w:r>
        <w:rPr>
          <w:color w:val="000000" w:themeColor="text1"/>
          <w:sz w:val="24"/>
          <w:szCs w:val="24"/>
          <w:lang w:val="en"/>
        </w:rPr>
        <w:t xml:space="preserve">(70.3%; US$ 3.3 billion), </w:t>
      </w:r>
      <w:r>
        <w:rPr>
          <w:b/>
          <w:bCs/>
          <w:color w:val="000000" w:themeColor="text1"/>
          <w:sz w:val="24"/>
          <w:szCs w:val="24"/>
          <w:lang w:val="en"/>
        </w:rPr>
        <w:t xml:space="preserve">beef </w:t>
      </w:r>
      <w:r>
        <w:rPr>
          <w:b/>
          <w:bCs/>
          <w:i/>
          <w:iCs/>
          <w:color w:val="000000" w:themeColor="text1"/>
          <w:sz w:val="24"/>
          <w:szCs w:val="24"/>
          <w:lang w:val="en"/>
        </w:rPr>
        <w:t xml:space="preserve">in </w:t>
      </w:r>
      <w:proofErr w:type="spellStart"/>
      <w:r>
        <w:rPr>
          <w:b/>
          <w:bCs/>
          <w:i/>
          <w:iCs/>
          <w:color w:val="000000" w:themeColor="text1"/>
          <w:sz w:val="24"/>
          <w:szCs w:val="24"/>
          <w:lang w:val="en"/>
        </w:rPr>
        <w:t>natura</w:t>
      </w:r>
      <w:proofErr w:type="spellEnd"/>
      <w:r>
        <w:rPr>
          <w:color w:val="000000" w:themeColor="text1"/>
          <w:sz w:val="24"/>
          <w:szCs w:val="24"/>
          <w:lang w:val="en"/>
        </w:rPr>
        <w:t xml:space="preserve"> (9</w:t>
      </w:r>
      <w:proofErr w:type="gramStart"/>
      <w:r>
        <w:rPr>
          <w:color w:val="000000" w:themeColor="text1"/>
          <w:sz w:val="24"/>
          <w:szCs w:val="24"/>
          <w:lang w:val="en"/>
        </w:rPr>
        <w:t>,4</w:t>
      </w:r>
      <w:proofErr w:type="gramEnd"/>
      <w:r>
        <w:rPr>
          <w:color w:val="000000" w:themeColor="text1"/>
          <w:sz w:val="24"/>
          <w:szCs w:val="24"/>
          <w:lang w:val="en"/>
        </w:rPr>
        <w:t xml:space="preserve">% ; 441,2 million); </w:t>
      </w:r>
      <w:r>
        <w:rPr>
          <w:b/>
          <w:bCs/>
          <w:color w:val="000000" w:themeColor="text1"/>
          <w:sz w:val="24"/>
          <w:szCs w:val="24"/>
          <w:lang w:val="en"/>
        </w:rPr>
        <w:t xml:space="preserve">cellulose </w:t>
      </w:r>
      <w:r>
        <w:rPr>
          <w:color w:val="000000" w:themeColor="text1"/>
          <w:sz w:val="24"/>
          <w:szCs w:val="24"/>
          <w:lang w:val="en"/>
        </w:rPr>
        <w:t xml:space="preserve">(5.6%; US$ 264.7 million), </w:t>
      </w:r>
      <w:r>
        <w:rPr>
          <w:b/>
          <w:bCs/>
          <w:color w:val="000000" w:themeColor="text1"/>
          <w:sz w:val="24"/>
          <w:szCs w:val="24"/>
          <w:lang w:val="en"/>
        </w:rPr>
        <w:t xml:space="preserve">pork </w:t>
      </w:r>
      <w:r>
        <w:rPr>
          <w:b/>
          <w:bCs/>
          <w:i/>
          <w:iCs/>
          <w:color w:val="000000" w:themeColor="text1"/>
          <w:sz w:val="24"/>
          <w:szCs w:val="24"/>
          <w:lang w:val="en"/>
        </w:rPr>
        <w:t xml:space="preserve">in </w:t>
      </w:r>
      <w:proofErr w:type="spellStart"/>
      <w:r>
        <w:rPr>
          <w:b/>
          <w:bCs/>
          <w:i/>
          <w:iCs/>
          <w:color w:val="000000" w:themeColor="text1"/>
          <w:sz w:val="24"/>
          <w:szCs w:val="24"/>
          <w:lang w:val="en"/>
        </w:rPr>
        <w:t>natura</w:t>
      </w:r>
      <w:proofErr w:type="spellEnd"/>
      <w:r>
        <w:rPr>
          <w:color w:val="000000" w:themeColor="text1"/>
          <w:sz w:val="24"/>
          <w:szCs w:val="24"/>
          <w:lang w:val="en"/>
        </w:rPr>
        <w:t xml:space="preserve"> (3,3%; US$ 156,1 million), and </w:t>
      </w:r>
      <w:r>
        <w:rPr>
          <w:b/>
          <w:bCs/>
          <w:color w:val="000000" w:themeColor="text1"/>
          <w:sz w:val="24"/>
          <w:szCs w:val="24"/>
          <w:lang w:val="en"/>
        </w:rPr>
        <w:t xml:space="preserve">raw cane sugar </w:t>
      </w:r>
      <w:r>
        <w:rPr>
          <w:color w:val="000000" w:themeColor="text1"/>
          <w:sz w:val="24"/>
          <w:szCs w:val="24"/>
          <w:lang w:val="en"/>
        </w:rPr>
        <w:t xml:space="preserve">(2.9%; US$ 135.0 million) as shown in Chart 3. Among the five products, the greatest positive variation was presented by </w:t>
      </w:r>
      <w:r>
        <w:rPr>
          <w:b/>
          <w:bCs/>
          <w:color w:val="000000" w:themeColor="text1"/>
          <w:sz w:val="24"/>
          <w:szCs w:val="24"/>
          <w:lang w:val="en"/>
        </w:rPr>
        <w:t xml:space="preserve">raw cane sugar, </w:t>
      </w:r>
      <w:r>
        <w:rPr>
          <w:color w:val="000000" w:themeColor="text1"/>
          <w:sz w:val="24"/>
          <w:szCs w:val="24"/>
          <w:lang w:val="en"/>
        </w:rPr>
        <w:t>with a 201.5% growth in June 2021 compared to the same month of 2020. The other products highlighted also showed positive variations in the same comparison.</w:t>
      </w:r>
    </w:p>
    <w:p w:rsidR="00F00D95" w:rsidRPr="00262AAA" w:rsidRDefault="00E3189B">
      <w:pPr>
        <w:keepNext/>
        <w:spacing w:after="0"/>
        <w:jc w:val="center"/>
        <w:rPr>
          <w:i/>
          <w:iCs/>
          <w:color w:val="000000" w:themeColor="text1"/>
          <w:sz w:val="24"/>
          <w:szCs w:val="24"/>
          <w:lang w:val="en-US"/>
        </w:rPr>
      </w:pPr>
      <w:r>
        <w:rPr>
          <w:i/>
          <w:iCs/>
          <w:color w:val="000000" w:themeColor="text1"/>
          <w:sz w:val="24"/>
          <w:szCs w:val="24"/>
          <w:lang w:val="en"/>
        </w:rPr>
        <w:t>Chart 3 – Main products exported to China in June – 2020 and 2021 – Share in total exports to the country</w:t>
      </w:r>
    </w:p>
    <w:p w:rsidR="00F00D95" w:rsidRDefault="00E3189B">
      <w:pPr>
        <w:spacing w:after="0"/>
        <w:jc w:val="center"/>
        <w:rPr>
          <w:b/>
          <w:bCs/>
          <w:sz w:val="24"/>
          <w:szCs w:val="24"/>
        </w:rPr>
      </w:pPr>
      <w:r>
        <w:rPr>
          <w:noProof/>
          <w:lang w:eastAsia="pt-BR"/>
        </w:rPr>
        <w:drawing>
          <wp:inline distT="0" distB="0" distL="0" distR="0">
            <wp:extent cx="4572000" cy="2743200"/>
            <wp:effectExtent l="0" t="0" r="0" b="0"/>
            <wp:docPr id="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7"/>
                    <pic:cNvPicPr>
                      <a:picLocks noChangeAspect="1" noChangeArrowheads="1"/>
                    </pic:cNvPicPr>
                  </pic:nvPicPr>
                  <pic:blipFill>
                    <a:blip r:embed="rId15"/>
                    <a:stretch>
                      <a:fillRect/>
                    </a:stretch>
                  </pic:blipFill>
                  <pic:spPr bwMode="auto">
                    <a:xfrm>
                      <a:off x="0" y="0"/>
                      <a:ext cx="4572000" cy="274320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F00D95">
      <w:pPr>
        <w:jc w:val="both"/>
        <w:rPr>
          <w:color w:val="000000" w:themeColor="text1"/>
          <w:sz w:val="24"/>
          <w:szCs w:val="24"/>
          <w:lang w:val="en-US"/>
        </w:rPr>
      </w:pPr>
    </w:p>
    <w:p w:rsidR="00F00D95" w:rsidRPr="00262AAA" w:rsidRDefault="00E3189B">
      <w:pPr>
        <w:ind w:firstLine="708"/>
        <w:jc w:val="both"/>
        <w:rPr>
          <w:color w:val="FF0000"/>
          <w:sz w:val="24"/>
          <w:szCs w:val="24"/>
          <w:lang w:val="en-US"/>
        </w:rPr>
      </w:pPr>
      <w:r>
        <w:rPr>
          <w:color w:val="000000" w:themeColor="text1"/>
          <w:sz w:val="24"/>
          <w:szCs w:val="24"/>
          <w:lang w:val="en"/>
        </w:rPr>
        <w:t xml:space="preserve">The main products exported to the European Union in June 2021 were </w:t>
      </w:r>
      <w:r>
        <w:rPr>
          <w:b/>
          <w:bCs/>
          <w:color w:val="000000" w:themeColor="text1"/>
          <w:sz w:val="24"/>
          <w:szCs w:val="24"/>
          <w:lang w:val="en"/>
        </w:rPr>
        <w:t xml:space="preserve">soybean grains </w:t>
      </w:r>
      <w:r>
        <w:rPr>
          <w:color w:val="000000" w:themeColor="text1"/>
          <w:sz w:val="24"/>
          <w:szCs w:val="24"/>
          <w:lang w:val="en"/>
        </w:rPr>
        <w:t xml:space="preserve">(35.7%; US$ 676.1 million), </w:t>
      </w:r>
      <w:r>
        <w:rPr>
          <w:b/>
          <w:bCs/>
          <w:color w:val="000000" w:themeColor="text1"/>
          <w:sz w:val="24"/>
          <w:szCs w:val="24"/>
          <w:lang w:val="en"/>
        </w:rPr>
        <w:t xml:space="preserve">soy </w:t>
      </w:r>
      <w:proofErr w:type="spellStart"/>
      <w:r>
        <w:rPr>
          <w:b/>
          <w:bCs/>
          <w:color w:val="000000" w:themeColor="text1"/>
          <w:sz w:val="24"/>
          <w:szCs w:val="24"/>
          <w:lang w:val="en"/>
        </w:rPr>
        <w:t>bran</w:t>
      </w:r>
      <w:proofErr w:type="spellEnd"/>
      <w:r>
        <w:rPr>
          <w:b/>
          <w:bCs/>
          <w:color w:val="000000" w:themeColor="text1"/>
          <w:sz w:val="24"/>
          <w:szCs w:val="24"/>
          <w:lang w:val="en"/>
        </w:rPr>
        <w:t xml:space="preserve"> </w:t>
      </w:r>
      <w:r>
        <w:rPr>
          <w:color w:val="000000" w:themeColor="text1"/>
          <w:sz w:val="24"/>
          <w:szCs w:val="24"/>
          <w:lang w:val="en"/>
        </w:rPr>
        <w:t xml:space="preserve">(17.1%; US$ 324.5 million) and </w:t>
      </w:r>
      <w:r>
        <w:rPr>
          <w:b/>
          <w:bCs/>
          <w:color w:val="000000" w:themeColor="text1"/>
          <w:sz w:val="24"/>
          <w:szCs w:val="24"/>
          <w:lang w:val="en"/>
        </w:rPr>
        <w:t xml:space="preserve">green coffee </w:t>
      </w:r>
      <w:r>
        <w:rPr>
          <w:color w:val="000000" w:themeColor="text1"/>
          <w:sz w:val="24"/>
          <w:szCs w:val="24"/>
          <w:lang w:val="en"/>
        </w:rPr>
        <w:t xml:space="preserve">(10.9%; US$ 206.5 million). Together these products represented 63.7% of the total sold to the region in June 2021, as shown in Chart 4. Among the highlighted products, the greatest positive variation was presented by </w:t>
      </w:r>
      <w:r>
        <w:rPr>
          <w:b/>
          <w:bCs/>
          <w:color w:val="000000" w:themeColor="text1"/>
          <w:sz w:val="24"/>
          <w:szCs w:val="24"/>
          <w:lang w:val="en"/>
        </w:rPr>
        <w:t>orange juices</w:t>
      </w:r>
      <w:r>
        <w:rPr>
          <w:color w:val="000000" w:themeColor="text1"/>
          <w:sz w:val="24"/>
          <w:szCs w:val="24"/>
          <w:lang w:val="en"/>
        </w:rPr>
        <w:t xml:space="preserve">, with 74.4% growth compared to June 2020. The participation of </w:t>
      </w:r>
      <w:r>
        <w:rPr>
          <w:b/>
          <w:bCs/>
          <w:color w:val="000000" w:themeColor="text1"/>
          <w:sz w:val="24"/>
          <w:szCs w:val="24"/>
          <w:lang w:val="en"/>
        </w:rPr>
        <w:t>cellulose</w:t>
      </w:r>
      <w:r>
        <w:rPr>
          <w:color w:val="000000" w:themeColor="text1"/>
          <w:sz w:val="24"/>
          <w:szCs w:val="24"/>
          <w:lang w:val="en"/>
        </w:rPr>
        <w:t xml:space="preserve"> (6.9% of the total) completes the chart.</w:t>
      </w:r>
    </w:p>
    <w:p w:rsidR="00F00D95" w:rsidRPr="00262AAA" w:rsidRDefault="00F00D95">
      <w:pPr>
        <w:jc w:val="both"/>
        <w:rPr>
          <w:color w:val="FF0000"/>
          <w:sz w:val="24"/>
          <w:szCs w:val="24"/>
          <w:lang w:val="en-US"/>
        </w:rPr>
      </w:pPr>
    </w:p>
    <w:p w:rsidR="00F00D95" w:rsidRPr="00262AAA" w:rsidRDefault="00E3189B">
      <w:pPr>
        <w:keepNext/>
        <w:spacing w:after="0"/>
        <w:jc w:val="center"/>
        <w:rPr>
          <w:i/>
          <w:iCs/>
          <w:color w:val="000000" w:themeColor="text1"/>
          <w:sz w:val="24"/>
          <w:szCs w:val="24"/>
          <w:lang w:val="en-US"/>
        </w:rPr>
      </w:pPr>
      <w:r>
        <w:rPr>
          <w:i/>
          <w:iCs/>
          <w:color w:val="000000" w:themeColor="text1"/>
          <w:sz w:val="24"/>
          <w:szCs w:val="24"/>
          <w:lang w:val="en"/>
        </w:rPr>
        <w:t>Chart 4 – Main products exported to the European Union in June – 2020 and 2021 – Share in total exports to the country</w:t>
      </w:r>
    </w:p>
    <w:p w:rsidR="00F00D95" w:rsidRDefault="00E3189B">
      <w:pPr>
        <w:keepNext/>
        <w:spacing w:after="0"/>
        <w:jc w:val="center"/>
        <w:rPr>
          <w:sz w:val="20"/>
          <w:szCs w:val="20"/>
        </w:rPr>
      </w:pPr>
      <w:r>
        <w:rPr>
          <w:noProof/>
          <w:lang w:eastAsia="pt-BR"/>
        </w:rPr>
        <w:drawing>
          <wp:inline distT="0" distB="0" distL="0" distR="0">
            <wp:extent cx="4572000" cy="2743200"/>
            <wp:effectExtent l="0" t="0" r="0" b="0"/>
            <wp:docPr id="1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8"/>
                    <pic:cNvPicPr>
                      <a:picLocks noChangeAspect="1" noChangeArrowheads="1"/>
                    </pic:cNvPicPr>
                  </pic:nvPicPr>
                  <pic:blipFill>
                    <a:blip r:embed="rId16"/>
                    <a:stretch>
                      <a:fillRect/>
                    </a:stretch>
                  </pic:blipFill>
                  <pic:spPr bwMode="auto">
                    <a:xfrm>
                      <a:off x="0" y="0"/>
                      <a:ext cx="4572000" cy="274320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F00D95">
      <w:pPr>
        <w:jc w:val="both"/>
        <w:rPr>
          <w:color w:val="FF0000"/>
          <w:sz w:val="24"/>
          <w:szCs w:val="24"/>
          <w:lang w:val="en-US"/>
        </w:rPr>
      </w:pPr>
    </w:p>
    <w:p w:rsidR="00F00D95" w:rsidRPr="00262AAA" w:rsidRDefault="00E3189B">
      <w:pPr>
        <w:ind w:firstLine="708"/>
        <w:jc w:val="both"/>
        <w:rPr>
          <w:b/>
          <w:bCs/>
          <w:color w:val="FF0000"/>
          <w:sz w:val="24"/>
          <w:szCs w:val="24"/>
          <w:lang w:val="en-US"/>
        </w:rPr>
      </w:pPr>
      <w:r>
        <w:rPr>
          <w:color w:val="000000" w:themeColor="text1"/>
          <w:sz w:val="24"/>
          <w:szCs w:val="24"/>
          <w:lang w:val="en"/>
        </w:rPr>
        <w:t xml:space="preserve">Exports to the United States have a lower concentration compared to China and the European Union, as shown in Figure 5, with the top five products accounting for 43.8% of total sales: </w:t>
      </w:r>
      <w:r>
        <w:rPr>
          <w:b/>
          <w:bCs/>
          <w:color w:val="000000" w:themeColor="text1"/>
          <w:sz w:val="24"/>
          <w:szCs w:val="24"/>
          <w:lang w:val="en"/>
        </w:rPr>
        <w:t xml:space="preserve">cellulose </w:t>
      </w:r>
      <w:r>
        <w:rPr>
          <w:color w:val="000000" w:themeColor="text1"/>
          <w:sz w:val="24"/>
          <w:szCs w:val="24"/>
          <w:lang w:val="en"/>
        </w:rPr>
        <w:t xml:space="preserve">(12.7%; US$ 94.2 million); </w:t>
      </w:r>
      <w:r>
        <w:rPr>
          <w:b/>
          <w:bCs/>
          <w:color w:val="000000" w:themeColor="text1"/>
          <w:sz w:val="24"/>
          <w:szCs w:val="24"/>
          <w:lang w:val="en"/>
        </w:rPr>
        <w:t xml:space="preserve">green coffee </w:t>
      </w:r>
      <w:r>
        <w:rPr>
          <w:color w:val="000000" w:themeColor="text1"/>
          <w:sz w:val="24"/>
          <w:szCs w:val="24"/>
          <w:lang w:val="en"/>
        </w:rPr>
        <w:t xml:space="preserve">(10.1%; US$ 74.6 million); </w:t>
      </w:r>
      <w:r>
        <w:rPr>
          <w:b/>
          <w:color w:val="000000" w:themeColor="text1"/>
          <w:sz w:val="24"/>
          <w:szCs w:val="24"/>
          <w:lang w:val="en"/>
        </w:rPr>
        <w:t>plywood</w:t>
      </w:r>
      <w:r>
        <w:rPr>
          <w:color w:val="000000" w:themeColor="text1"/>
          <w:sz w:val="24"/>
          <w:szCs w:val="24"/>
          <w:lang w:val="en"/>
        </w:rPr>
        <w:t xml:space="preserve"> (8.4%; US$ 62.0 million); </w:t>
      </w:r>
      <w:r>
        <w:rPr>
          <w:b/>
          <w:bCs/>
          <w:color w:val="000000" w:themeColor="text1"/>
          <w:sz w:val="24"/>
          <w:szCs w:val="24"/>
          <w:lang w:val="en"/>
        </w:rPr>
        <w:t>soybean grains</w:t>
      </w:r>
      <w:r>
        <w:rPr>
          <w:color w:val="000000" w:themeColor="text1"/>
          <w:sz w:val="24"/>
          <w:szCs w:val="24"/>
          <w:lang w:val="en"/>
        </w:rPr>
        <w:t xml:space="preserve"> (6,7%; US$ 49,8 million); and </w:t>
      </w:r>
      <w:r>
        <w:rPr>
          <w:b/>
          <w:bCs/>
          <w:color w:val="000000" w:themeColor="text1"/>
          <w:sz w:val="24"/>
          <w:szCs w:val="24"/>
          <w:lang w:val="en"/>
        </w:rPr>
        <w:t>shaped wood</w:t>
      </w:r>
      <w:r>
        <w:rPr>
          <w:color w:val="000000" w:themeColor="text1"/>
          <w:sz w:val="24"/>
          <w:szCs w:val="24"/>
          <w:lang w:val="en"/>
        </w:rPr>
        <w:t xml:space="preserve"> (5.9%; US$ 43.9 million). Among the main products sold in June 2021, the growth of </w:t>
      </w:r>
      <w:r>
        <w:rPr>
          <w:b/>
          <w:color w:val="000000" w:themeColor="text1"/>
          <w:sz w:val="24"/>
          <w:szCs w:val="24"/>
          <w:lang w:val="en"/>
        </w:rPr>
        <w:t xml:space="preserve">cellulose </w:t>
      </w:r>
      <w:r>
        <w:rPr>
          <w:color w:val="000000" w:themeColor="text1"/>
          <w:sz w:val="24"/>
          <w:szCs w:val="24"/>
          <w:lang w:val="en"/>
        </w:rPr>
        <w:t xml:space="preserve">(+423.0% compared to June 2020) and </w:t>
      </w:r>
      <w:r>
        <w:rPr>
          <w:b/>
          <w:color w:val="000000" w:themeColor="text1"/>
          <w:sz w:val="24"/>
          <w:szCs w:val="24"/>
          <w:lang w:val="en"/>
        </w:rPr>
        <w:t>plywood</w:t>
      </w:r>
      <w:r>
        <w:rPr>
          <w:color w:val="000000" w:themeColor="text1"/>
          <w:sz w:val="24"/>
          <w:szCs w:val="24"/>
          <w:lang w:val="en"/>
        </w:rPr>
        <w:t xml:space="preserve"> (+60</w:t>
      </w:r>
      <w:proofErr w:type="gramStart"/>
      <w:r>
        <w:rPr>
          <w:color w:val="000000" w:themeColor="text1"/>
          <w:sz w:val="24"/>
          <w:szCs w:val="24"/>
          <w:lang w:val="en"/>
        </w:rPr>
        <w:t>,9</w:t>
      </w:r>
      <w:proofErr w:type="gramEnd"/>
      <w:r>
        <w:rPr>
          <w:color w:val="000000" w:themeColor="text1"/>
          <w:sz w:val="24"/>
          <w:szCs w:val="24"/>
          <w:lang w:val="en"/>
        </w:rPr>
        <w:t xml:space="preserve">%) are highlights. However, exports of </w:t>
      </w:r>
      <w:r>
        <w:rPr>
          <w:b/>
          <w:bCs/>
          <w:color w:val="000000" w:themeColor="text1"/>
          <w:sz w:val="24"/>
          <w:szCs w:val="24"/>
          <w:lang w:val="en"/>
        </w:rPr>
        <w:t>green coffee</w:t>
      </w:r>
      <w:r>
        <w:rPr>
          <w:color w:val="000000" w:themeColor="text1"/>
          <w:sz w:val="24"/>
          <w:szCs w:val="24"/>
          <w:lang w:val="en"/>
        </w:rPr>
        <w:t xml:space="preserve"> registered a negative change of 26.7% compared to June 2020. </w:t>
      </w:r>
    </w:p>
    <w:p w:rsidR="00F00D95" w:rsidRPr="00262AAA" w:rsidRDefault="00E3189B">
      <w:pPr>
        <w:keepNext/>
        <w:spacing w:after="0"/>
        <w:jc w:val="center"/>
        <w:rPr>
          <w:color w:val="000000" w:themeColor="text1"/>
          <w:lang w:val="en-US" w:eastAsia="pt-BR"/>
        </w:rPr>
      </w:pPr>
      <w:r>
        <w:rPr>
          <w:i/>
          <w:iCs/>
          <w:color w:val="000000" w:themeColor="text1"/>
          <w:sz w:val="24"/>
          <w:szCs w:val="24"/>
          <w:lang w:val="en"/>
        </w:rPr>
        <w:lastRenderedPageBreak/>
        <w:t xml:space="preserve">Chart 5 – Main products exported to the United States in June – 2020 and 2021 – Share in total exports to the country </w:t>
      </w:r>
    </w:p>
    <w:p w:rsidR="00F00D95" w:rsidRDefault="00E3189B">
      <w:pPr>
        <w:keepNext/>
        <w:spacing w:after="0"/>
        <w:jc w:val="center"/>
        <w:rPr>
          <w:sz w:val="20"/>
          <w:szCs w:val="20"/>
        </w:rPr>
      </w:pPr>
      <w:r>
        <w:rPr>
          <w:noProof/>
          <w:lang w:eastAsia="pt-BR"/>
        </w:rPr>
        <w:drawing>
          <wp:inline distT="0" distB="0" distL="0" distR="0">
            <wp:extent cx="4572000" cy="2743200"/>
            <wp:effectExtent l="0" t="0" r="0" b="0"/>
            <wp:docPr id="1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9"/>
                    <pic:cNvPicPr>
                      <a:picLocks noChangeAspect="1" noChangeArrowheads="1"/>
                    </pic:cNvPicPr>
                  </pic:nvPicPr>
                  <pic:blipFill>
                    <a:blip r:embed="rId17"/>
                    <a:stretch>
                      <a:fillRect/>
                    </a:stretch>
                  </pic:blipFill>
                  <pic:spPr bwMode="auto">
                    <a:xfrm>
                      <a:off x="0" y="0"/>
                      <a:ext cx="4572000" cy="274320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jc w:val="center"/>
        <w:rPr>
          <w:b/>
          <w:bCs/>
          <w:sz w:val="24"/>
          <w:szCs w:val="24"/>
          <w:lang w:val="en-US"/>
        </w:rPr>
      </w:pPr>
      <w:r>
        <w:rPr>
          <w:b/>
          <w:bCs/>
          <w:noProof/>
          <w:sz w:val="24"/>
          <w:szCs w:val="24"/>
          <w:lang w:eastAsia="pt-BR"/>
        </w:rPr>
        <mc:AlternateContent>
          <mc:Choice Requires="wps">
            <w:drawing>
              <wp:anchor distT="0" distB="0" distL="114300" distR="114300" simplePos="0" relativeHeight="4" behindDoc="0" locked="0" layoutInCell="1" allowOverlap="1">
                <wp:simplePos x="0" y="0"/>
                <wp:positionH relativeFrom="margin">
                  <wp:align>left</wp:align>
                </wp:positionH>
                <wp:positionV relativeFrom="paragraph">
                  <wp:posOffset>160020</wp:posOffset>
                </wp:positionV>
                <wp:extent cx="5763260" cy="17780"/>
                <wp:effectExtent l="0" t="0" r="29210" b="20955"/>
                <wp:wrapNone/>
                <wp:docPr id="12" name="Conector reto 25"/>
                <wp:cNvGraphicFramePr/>
                <a:graphic xmlns:a="http://schemas.openxmlformats.org/drawingml/2006/main">
                  <a:graphicData uri="http://schemas.microsoft.com/office/word/2010/wordprocessingShape">
                    <wps:wsp>
                      <wps:cNvCnPr/>
                      <wps:spPr>
                        <a:xfrm flipV="1">
                          <a:off x="0" y="0"/>
                          <a:ext cx="5762520" cy="17280"/>
                        </a:xfrm>
                        <a:prstGeom prst="line">
                          <a:avLst/>
                        </a:prstGeom>
                        <a:ln/>
                      </wps:spPr>
                      <wps:style>
                        <a:lnRef idx="3">
                          <a:schemeClr val="dk1"/>
                        </a:lnRef>
                        <a:fillRef idx="0">
                          <a:schemeClr val="dk1"/>
                        </a:fillRef>
                        <a:effectRef idx="2">
                          <a:schemeClr val="dk1"/>
                        </a:effectRef>
                        <a:fontRef idx="minor"/>
                      </wps:style>
                      <wps:bodyPr/>
                    </wps:wsp>
                  </a:graphicData>
                </a:graphic>
              </wp:anchor>
            </w:drawing>
          </mc:Choice>
          <mc:Fallback>
            <w:pict>
              <v:line id="shape_0" from="9pt,11.95pt" to="462.7pt,13.25pt" ID="Conector reto 25" stroked="t" style="position:absolute;flip:y;mso-position-horizontal:left;mso-position-horizontal-relative:margin">
                <v:stroke color="black" weight="19080" joinstyle="miter" endcap="flat"/>
                <v:fill o:detectmouseclick="t" on="false"/>
              </v:line>
            </w:pict>
          </mc:Fallback>
        </mc:AlternateContent>
      </w:r>
    </w:p>
    <w:p w:rsidR="00F00D95" w:rsidRPr="00262AAA" w:rsidRDefault="00E3189B">
      <w:pPr>
        <w:jc w:val="both"/>
        <w:rPr>
          <w:b/>
          <w:bCs/>
          <w:sz w:val="24"/>
          <w:szCs w:val="24"/>
          <w:lang w:val="en-US"/>
        </w:rPr>
      </w:pPr>
      <w:r>
        <w:rPr>
          <w:rFonts w:cstheme="minorHAnsi"/>
          <w:b/>
          <w:sz w:val="24"/>
          <w:szCs w:val="24"/>
          <w:lang w:val="en"/>
        </w:rPr>
        <w:t>Analysis of Selected Sectors (Agro.BR)</w:t>
      </w:r>
    </w:p>
    <w:p w:rsidR="00F00D95" w:rsidRPr="00262AAA" w:rsidRDefault="00E3189B">
      <w:pPr>
        <w:ind w:firstLine="708"/>
        <w:jc w:val="both"/>
        <w:rPr>
          <w:sz w:val="24"/>
          <w:szCs w:val="24"/>
          <w:lang w:val="en-US"/>
        </w:rPr>
      </w:pPr>
      <w:r>
        <w:rPr>
          <w:sz w:val="24"/>
          <w:szCs w:val="24"/>
          <w:lang w:val="en"/>
        </w:rPr>
        <w:t xml:space="preserve">Agro.BR it is an internationalization project aimed at small and medium-sized Brazilian rural entrepreneurs, carried out by the Confederation of Agriculture and Livestock of Brazil – CNA, in partnership with the Brazilian Agency for the Promotion of Exports and Investments – Apex-Brazil. The initiative aims to organize the supply of products and increase the amount of rural entrepreneurs in foreign trade, and thus promote the diversification of the Brazilian export agenda. </w:t>
      </w:r>
    </w:p>
    <w:p w:rsidR="00F00D95" w:rsidRPr="00262AAA" w:rsidRDefault="00E3189B">
      <w:pPr>
        <w:ind w:firstLine="708"/>
        <w:jc w:val="both"/>
        <w:rPr>
          <w:sz w:val="24"/>
          <w:szCs w:val="24"/>
          <w:lang w:val="en-US"/>
        </w:rPr>
      </w:pPr>
      <w:r>
        <w:rPr>
          <w:sz w:val="24"/>
          <w:szCs w:val="24"/>
          <w:lang w:val="en"/>
        </w:rPr>
        <w:t xml:space="preserve">The priority sectors of Agro.BR are </w:t>
      </w:r>
      <w:r>
        <w:rPr>
          <w:b/>
          <w:bCs/>
          <w:sz w:val="24"/>
          <w:szCs w:val="24"/>
          <w:lang w:val="en"/>
        </w:rPr>
        <w:t>tea, mate and spices</w:t>
      </w:r>
      <w:r>
        <w:rPr>
          <w:sz w:val="24"/>
          <w:szCs w:val="24"/>
          <w:lang w:val="en"/>
        </w:rPr>
        <w:t xml:space="preserve">; </w:t>
      </w:r>
      <w:r>
        <w:rPr>
          <w:b/>
          <w:bCs/>
          <w:sz w:val="24"/>
          <w:szCs w:val="24"/>
          <w:lang w:val="en"/>
        </w:rPr>
        <w:t>fruit</w:t>
      </w:r>
      <w:r>
        <w:rPr>
          <w:sz w:val="24"/>
          <w:szCs w:val="24"/>
          <w:lang w:val="en"/>
        </w:rPr>
        <w:t xml:space="preserve">; </w:t>
      </w:r>
      <w:r>
        <w:rPr>
          <w:b/>
          <w:bCs/>
          <w:sz w:val="24"/>
          <w:szCs w:val="24"/>
          <w:lang w:val="en"/>
        </w:rPr>
        <w:t>dairy products</w:t>
      </w:r>
      <w:r>
        <w:rPr>
          <w:sz w:val="24"/>
          <w:szCs w:val="24"/>
          <w:lang w:val="en"/>
        </w:rPr>
        <w:t xml:space="preserve">; </w:t>
      </w:r>
      <w:r>
        <w:rPr>
          <w:b/>
          <w:bCs/>
          <w:sz w:val="24"/>
          <w:szCs w:val="24"/>
          <w:lang w:val="en"/>
        </w:rPr>
        <w:t>fish</w:t>
      </w:r>
      <w:r>
        <w:rPr>
          <w:sz w:val="24"/>
          <w:szCs w:val="24"/>
          <w:lang w:val="en"/>
        </w:rPr>
        <w:t xml:space="preserve"> and </w:t>
      </w:r>
      <w:r>
        <w:rPr>
          <w:b/>
          <w:bCs/>
          <w:sz w:val="24"/>
          <w:szCs w:val="24"/>
          <w:lang w:val="en"/>
        </w:rPr>
        <w:t>beekeeping products</w:t>
      </w:r>
      <w:r>
        <w:rPr>
          <w:sz w:val="24"/>
          <w:szCs w:val="24"/>
          <w:lang w:val="en"/>
        </w:rPr>
        <w:t xml:space="preserve">. The following is a detailed analysis of the export performance of the products contained in these sectors. </w:t>
      </w:r>
    </w:p>
    <w:p w:rsidR="00F00D95" w:rsidRPr="00262AAA" w:rsidRDefault="00F00D95">
      <w:pPr>
        <w:spacing w:after="0"/>
        <w:jc w:val="both"/>
        <w:rPr>
          <w:b/>
          <w:bCs/>
          <w:sz w:val="24"/>
          <w:szCs w:val="24"/>
          <w:lang w:val="en-US"/>
        </w:rPr>
      </w:pPr>
    </w:p>
    <w:p w:rsidR="00F00D95" w:rsidRPr="00262AAA" w:rsidRDefault="00E3189B">
      <w:pPr>
        <w:jc w:val="both"/>
        <w:rPr>
          <w:b/>
          <w:bCs/>
          <w:sz w:val="24"/>
          <w:szCs w:val="24"/>
          <w:u w:val="single"/>
          <w:lang w:val="en-US"/>
        </w:rPr>
      </w:pPr>
      <w:r>
        <w:rPr>
          <w:b/>
          <w:bCs/>
          <w:sz w:val="24"/>
          <w:szCs w:val="24"/>
          <w:u w:val="single"/>
          <w:lang w:val="en"/>
        </w:rPr>
        <w:t>Tea, mate and spices</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value of exports of </w:t>
      </w:r>
      <w:r>
        <w:rPr>
          <w:b/>
          <w:bCs/>
          <w:color w:val="000000" w:themeColor="text1"/>
          <w:sz w:val="24"/>
          <w:szCs w:val="24"/>
          <w:lang w:val="en"/>
        </w:rPr>
        <w:t>tea, mate and spices</w:t>
      </w:r>
      <w:r>
        <w:rPr>
          <w:color w:val="000000" w:themeColor="text1"/>
          <w:sz w:val="24"/>
          <w:szCs w:val="24"/>
          <w:lang w:val="en"/>
        </w:rPr>
        <w:t xml:space="preserve"> was US$ 38.4 million in June 2021, and the volume reached 17.4 thousand tons. In comparison with the same month of 2020, there was a 50.5% growth in sold values and an increase of 16.7%, in terms of volume. In the aggregate year until June, exports from the sector totaled US$ 206.0 million, 18.8% growth compared to the same period of 2020.</w:t>
      </w:r>
    </w:p>
    <w:p w:rsidR="00F00D95" w:rsidRPr="00262AAA" w:rsidRDefault="00E3189B">
      <w:pPr>
        <w:ind w:firstLine="708"/>
        <w:jc w:val="both"/>
        <w:rPr>
          <w:color w:val="FF0000"/>
          <w:sz w:val="24"/>
          <w:szCs w:val="24"/>
          <w:lang w:val="en-US"/>
        </w:rPr>
      </w:pPr>
      <w:r>
        <w:rPr>
          <w:color w:val="000000" w:themeColor="text1"/>
          <w:sz w:val="24"/>
          <w:szCs w:val="24"/>
          <w:lang w:val="en"/>
        </w:rPr>
        <w:t xml:space="preserve">The main products exported by the sector are: </w:t>
      </w:r>
      <w:r>
        <w:rPr>
          <w:b/>
          <w:bCs/>
          <w:color w:val="000000" w:themeColor="text1"/>
          <w:sz w:val="24"/>
          <w:szCs w:val="24"/>
          <w:lang w:val="en"/>
        </w:rPr>
        <w:t>pepper of the dry piper genus, ground or powdered</w:t>
      </w:r>
      <w:r>
        <w:rPr>
          <w:color w:val="000000" w:themeColor="text1"/>
          <w:sz w:val="24"/>
          <w:szCs w:val="24"/>
          <w:lang w:val="en"/>
        </w:rPr>
        <w:t xml:space="preserve"> (US$ 23.0 million); </w:t>
      </w:r>
      <w:r>
        <w:rPr>
          <w:b/>
          <w:bCs/>
          <w:color w:val="000000" w:themeColor="text1"/>
          <w:sz w:val="24"/>
          <w:szCs w:val="24"/>
          <w:lang w:val="en"/>
        </w:rPr>
        <w:t>mate</w:t>
      </w:r>
      <w:r>
        <w:rPr>
          <w:color w:val="000000" w:themeColor="text1"/>
          <w:sz w:val="24"/>
          <w:szCs w:val="24"/>
          <w:lang w:val="en"/>
        </w:rPr>
        <w:t xml:space="preserve"> (US$ 8.3 million) and </w:t>
      </w:r>
      <w:r>
        <w:rPr>
          <w:b/>
          <w:bCs/>
          <w:color w:val="000000" w:themeColor="text1"/>
          <w:sz w:val="24"/>
          <w:szCs w:val="24"/>
          <w:lang w:val="en"/>
        </w:rPr>
        <w:t xml:space="preserve">ginger </w:t>
      </w:r>
      <w:r>
        <w:rPr>
          <w:color w:val="000000" w:themeColor="text1"/>
          <w:sz w:val="24"/>
          <w:szCs w:val="24"/>
          <w:lang w:val="en"/>
        </w:rPr>
        <w:t>(US$ 5.3 million). These products account for 95.3% of the total export of the sector, as shown in Table 2.</w:t>
      </w:r>
    </w:p>
    <w:p w:rsidR="00F00D95" w:rsidRPr="00262AAA" w:rsidRDefault="00E3189B">
      <w:pPr>
        <w:ind w:firstLine="708"/>
        <w:jc w:val="both"/>
        <w:rPr>
          <w:b/>
          <w:bCs/>
          <w:color w:val="FF0000"/>
          <w:sz w:val="24"/>
          <w:szCs w:val="24"/>
          <w:lang w:val="en-US"/>
        </w:rPr>
      </w:pPr>
      <w:r>
        <w:rPr>
          <w:color w:val="000000" w:themeColor="text1"/>
          <w:sz w:val="24"/>
          <w:szCs w:val="24"/>
          <w:lang w:val="en"/>
        </w:rPr>
        <w:t xml:space="preserve">As a highlight, the exports of </w:t>
      </w:r>
      <w:r>
        <w:rPr>
          <w:b/>
          <w:bCs/>
          <w:color w:val="000000" w:themeColor="text1"/>
          <w:sz w:val="24"/>
          <w:szCs w:val="24"/>
          <w:lang w:val="en"/>
        </w:rPr>
        <w:t>pepper of the dry piper genus, ground or powdered</w:t>
      </w:r>
      <w:r>
        <w:rPr>
          <w:color w:val="000000" w:themeColor="text1"/>
          <w:sz w:val="24"/>
          <w:szCs w:val="24"/>
          <w:lang w:val="en"/>
        </w:rPr>
        <w:t xml:space="preserve">, grew at an average rate of 90.6% between June 2020 and June 2021. In terms of value, sales </w:t>
      </w:r>
      <w:r>
        <w:rPr>
          <w:color w:val="000000" w:themeColor="text1"/>
          <w:sz w:val="24"/>
          <w:szCs w:val="24"/>
          <w:lang w:val="en"/>
        </w:rPr>
        <w:lastRenderedPageBreak/>
        <w:t xml:space="preserve">increased from US$ 12.1 million in June 2020 to US$ 23.0 million in June 2021, a US$ 10.9 million increase. </w:t>
      </w:r>
    </w:p>
    <w:p w:rsidR="00F00D95" w:rsidRPr="00262AAA" w:rsidRDefault="00E3189B">
      <w:pPr>
        <w:keepNext/>
        <w:jc w:val="center"/>
        <w:rPr>
          <w:i/>
          <w:iCs/>
          <w:color w:val="000000" w:themeColor="text1"/>
          <w:sz w:val="24"/>
          <w:szCs w:val="24"/>
          <w:lang w:val="en-US"/>
        </w:rPr>
      </w:pPr>
      <w:r>
        <w:rPr>
          <w:i/>
          <w:iCs/>
          <w:color w:val="000000" w:themeColor="text1"/>
          <w:sz w:val="24"/>
          <w:szCs w:val="24"/>
          <w:lang w:val="en"/>
        </w:rPr>
        <w:t>Table 2 – Main Products Exported from the “Tea, mate and spices” Sector</w:t>
      </w:r>
    </w:p>
    <w:p w:rsidR="00F00D95" w:rsidRDefault="00E3189B">
      <w:pPr>
        <w:spacing w:after="0"/>
        <w:jc w:val="center"/>
        <w:rPr>
          <w:b/>
          <w:bCs/>
          <w:sz w:val="24"/>
          <w:szCs w:val="24"/>
          <w:u w:val="single"/>
        </w:rPr>
      </w:pPr>
      <w:r>
        <w:rPr>
          <w:noProof/>
          <w:lang w:eastAsia="pt-BR"/>
        </w:rPr>
        <w:drawing>
          <wp:inline distT="0" distB="3810" distL="0" distR="2540">
            <wp:extent cx="5941060" cy="2053590"/>
            <wp:effectExtent l="0" t="0" r="0" b="0"/>
            <wp:docPr id="1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0"/>
                    <pic:cNvPicPr>
                      <a:picLocks noChangeAspect="1" noChangeArrowheads="1"/>
                    </pic:cNvPicPr>
                  </pic:nvPicPr>
                  <pic:blipFill>
                    <a:blip r:embed="rId18"/>
                    <a:stretch>
                      <a:fillRect/>
                    </a:stretch>
                  </pic:blipFill>
                  <pic:spPr bwMode="auto">
                    <a:xfrm>
                      <a:off x="0" y="0"/>
                      <a:ext cx="5941060" cy="205359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F00D95">
      <w:pPr>
        <w:spacing w:after="0"/>
        <w:jc w:val="both"/>
        <w:rPr>
          <w:color w:val="FF0000"/>
          <w:sz w:val="24"/>
          <w:szCs w:val="24"/>
          <w:lang w:val="en-US"/>
        </w:rPr>
      </w:pP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main export destinations in the sector in June 2021 were: </w:t>
      </w:r>
      <w:r>
        <w:rPr>
          <w:b/>
          <w:bCs/>
          <w:color w:val="000000" w:themeColor="text1"/>
          <w:sz w:val="24"/>
          <w:szCs w:val="24"/>
          <w:lang w:val="en"/>
        </w:rPr>
        <w:t>European Union</w:t>
      </w:r>
      <w:r>
        <w:rPr>
          <w:color w:val="000000" w:themeColor="text1"/>
          <w:sz w:val="24"/>
          <w:szCs w:val="24"/>
          <w:lang w:val="en"/>
        </w:rPr>
        <w:t xml:space="preserve"> (25.4%; US$ 9.7 million); </w:t>
      </w:r>
      <w:r>
        <w:rPr>
          <w:b/>
          <w:bCs/>
          <w:color w:val="000000" w:themeColor="text1"/>
          <w:sz w:val="24"/>
          <w:szCs w:val="24"/>
          <w:lang w:val="en"/>
        </w:rPr>
        <w:t>United States</w:t>
      </w:r>
      <w:r>
        <w:rPr>
          <w:color w:val="000000" w:themeColor="text1"/>
          <w:sz w:val="24"/>
          <w:szCs w:val="24"/>
          <w:lang w:val="en"/>
        </w:rPr>
        <w:t xml:space="preserve"> (13.2%; US$ 5.0 million); </w:t>
      </w:r>
      <w:r>
        <w:rPr>
          <w:b/>
          <w:bCs/>
          <w:color w:val="000000" w:themeColor="text1"/>
          <w:sz w:val="24"/>
          <w:szCs w:val="24"/>
          <w:lang w:val="en"/>
        </w:rPr>
        <w:t xml:space="preserve">Uruguay </w:t>
      </w:r>
      <w:r>
        <w:rPr>
          <w:color w:val="000000" w:themeColor="text1"/>
          <w:sz w:val="24"/>
          <w:szCs w:val="24"/>
          <w:lang w:val="en"/>
        </w:rPr>
        <w:t xml:space="preserve">(11.4%; US$ 4.4 million); </w:t>
      </w:r>
      <w:r>
        <w:rPr>
          <w:b/>
          <w:bCs/>
          <w:color w:val="000000" w:themeColor="text1"/>
          <w:sz w:val="24"/>
          <w:szCs w:val="24"/>
          <w:lang w:val="en"/>
        </w:rPr>
        <w:t xml:space="preserve">United Arab Emirates </w:t>
      </w:r>
      <w:r>
        <w:rPr>
          <w:color w:val="000000" w:themeColor="text1"/>
          <w:sz w:val="24"/>
          <w:szCs w:val="24"/>
          <w:lang w:val="en"/>
        </w:rPr>
        <w:t xml:space="preserve">(10,2%; US$ 3,9 million); and </w:t>
      </w:r>
      <w:r>
        <w:rPr>
          <w:b/>
          <w:bCs/>
          <w:color w:val="000000" w:themeColor="text1"/>
          <w:sz w:val="24"/>
          <w:szCs w:val="24"/>
          <w:lang w:val="en"/>
        </w:rPr>
        <w:t>Argentina</w:t>
      </w:r>
      <w:r>
        <w:rPr>
          <w:color w:val="000000" w:themeColor="text1"/>
          <w:sz w:val="24"/>
          <w:szCs w:val="24"/>
          <w:lang w:val="en"/>
        </w:rPr>
        <w:t xml:space="preserve"> (8.9%; US$ 3.4 million). Together, these markets accounted for 69.0% of the total exported in the sixth month of 2021.</w:t>
      </w:r>
    </w:p>
    <w:p w:rsidR="00F00D95" w:rsidRPr="00262AAA" w:rsidRDefault="00F00D95">
      <w:pPr>
        <w:jc w:val="both"/>
        <w:rPr>
          <w:b/>
          <w:bCs/>
          <w:color w:val="FF0000"/>
          <w:sz w:val="24"/>
          <w:szCs w:val="24"/>
          <w:u w:val="single"/>
          <w:lang w:val="en-US"/>
        </w:rPr>
      </w:pPr>
    </w:p>
    <w:p w:rsidR="00F00D95" w:rsidRPr="00262AAA" w:rsidRDefault="00E3189B">
      <w:pPr>
        <w:jc w:val="both"/>
        <w:rPr>
          <w:b/>
          <w:bCs/>
          <w:color w:val="000000" w:themeColor="text1"/>
          <w:sz w:val="24"/>
          <w:szCs w:val="24"/>
          <w:u w:val="single"/>
          <w:lang w:val="en-US"/>
        </w:rPr>
      </w:pPr>
      <w:r>
        <w:rPr>
          <w:b/>
          <w:bCs/>
          <w:color w:val="000000" w:themeColor="text1"/>
          <w:sz w:val="24"/>
          <w:szCs w:val="24"/>
          <w:u w:val="single"/>
          <w:lang w:val="en"/>
        </w:rPr>
        <w:t>Fruit</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Brazilian exports of </w:t>
      </w:r>
      <w:r>
        <w:rPr>
          <w:b/>
          <w:bCs/>
          <w:color w:val="000000" w:themeColor="text1"/>
          <w:sz w:val="24"/>
          <w:szCs w:val="24"/>
          <w:lang w:val="en"/>
        </w:rPr>
        <w:t>fruit</w:t>
      </w:r>
      <w:r>
        <w:rPr>
          <w:rStyle w:val="FootnoteAnchor"/>
          <w:color w:val="000000" w:themeColor="text1"/>
          <w:sz w:val="24"/>
          <w:szCs w:val="24"/>
        </w:rPr>
        <w:footnoteReference w:id="2"/>
      </w:r>
      <w:r>
        <w:rPr>
          <w:color w:val="000000" w:themeColor="text1"/>
          <w:sz w:val="24"/>
          <w:szCs w:val="24"/>
          <w:lang w:val="en"/>
        </w:rPr>
        <w:t xml:space="preserve"> totaled about US$ 85.7 million in June. The result means a growth of 46.8% compared to the value exported in the same month of 2020, an increase of approximately US$ 27.3 million. In the aggregate year until June, exports from the sector totaled US$ 509.8 million, an expansion of 31.9% compared to the same period of 2020.</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five most exported products account for 68.0% of the sector, namely: </w:t>
      </w:r>
      <w:r>
        <w:rPr>
          <w:b/>
          <w:bCs/>
          <w:color w:val="000000" w:themeColor="text1"/>
          <w:sz w:val="24"/>
          <w:szCs w:val="24"/>
          <w:lang w:val="en"/>
        </w:rPr>
        <w:t xml:space="preserve">fresh or dried mangoes </w:t>
      </w:r>
      <w:r>
        <w:rPr>
          <w:color w:val="000000" w:themeColor="text1"/>
          <w:sz w:val="24"/>
          <w:szCs w:val="24"/>
          <w:lang w:val="en"/>
        </w:rPr>
        <w:t xml:space="preserve">(US$ 15.2 million), </w:t>
      </w:r>
      <w:r>
        <w:rPr>
          <w:b/>
          <w:bCs/>
          <w:color w:val="000000" w:themeColor="text1"/>
          <w:sz w:val="24"/>
          <w:szCs w:val="24"/>
          <w:lang w:val="en"/>
        </w:rPr>
        <w:t>fresh or dried lemons and limes</w:t>
      </w:r>
      <w:r>
        <w:rPr>
          <w:color w:val="000000" w:themeColor="text1"/>
          <w:sz w:val="24"/>
          <w:szCs w:val="24"/>
          <w:lang w:val="en"/>
        </w:rPr>
        <w:t xml:space="preserve"> (US$ 15.0 million), </w:t>
      </w:r>
      <w:r>
        <w:rPr>
          <w:b/>
          <w:bCs/>
          <w:color w:val="000000" w:themeColor="text1"/>
          <w:sz w:val="24"/>
          <w:szCs w:val="24"/>
          <w:lang w:val="en"/>
        </w:rPr>
        <w:t xml:space="preserve">fresh apples </w:t>
      </w:r>
      <w:r>
        <w:rPr>
          <w:color w:val="000000" w:themeColor="text1"/>
          <w:sz w:val="24"/>
          <w:szCs w:val="24"/>
          <w:lang w:val="en"/>
        </w:rPr>
        <w:t xml:space="preserve">(US$ 10.1 million), </w:t>
      </w:r>
      <w:r>
        <w:rPr>
          <w:b/>
          <w:bCs/>
          <w:color w:val="000000" w:themeColor="text1"/>
          <w:sz w:val="24"/>
          <w:szCs w:val="24"/>
          <w:lang w:val="en"/>
        </w:rPr>
        <w:t xml:space="preserve">cashew nuts </w:t>
      </w:r>
      <w:r>
        <w:rPr>
          <w:color w:val="000000" w:themeColor="text1"/>
          <w:sz w:val="24"/>
          <w:szCs w:val="24"/>
          <w:lang w:val="en"/>
        </w:rPr>
        <w:t xml:space="preserve">(US$ 9,3 million), and </w:t>
      </w:r>
      <w:r>
        <w:rPr>
          <w:b/>
          <w:bCs/>
          <w:color w:val="000000" w:themeColor="text1"/>
          <w:sz w:val="24"/>
          <w:szCs w:val="24"/>
          <w:lang w:val="en"/>
        </w:rPr>
        <w:t xml:space="preserve">other prepared or preserved fruit </w:t>
      </w:r>
      <w:r>
        <w:rPr>
          <w:color w:val="000000" w:themeColor="text1"/>
          <w:sz w:val="24"/>
          <w:szCs w:val="24"/>
          <w:lang w:val="en"/>
        </w:rPr>
        <w:t>(US$ 8.7 million).</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In terms of the change in the value of exports in June 2021 compared to June 2020, the highest growth was recorded by </w:t>
      </w:r>
      <w:r>
        <w:rPr>
          <w:b/>
          <w:bCs/>
          <w:color w:val="000000" w:themeColor="text1"/>
          <w:sz w:val="24"/>
          <w:szCs w:val="24"/>
          <w:lang w:val="en"/>
        </w:rPr>
        <w:t>other prepared or preserved fruit</w:t>
      </w:r>
      <w:r>
        <w:rPr>
          <w:color w:val="000000" w:themeColor="text1"/>
          <w:sz w:val="24"/>
          <w:szCs w:val="24"/>
          <w:lang w:val="en"/>
        </w:rPr>
        <w:t xml:space="preserve"> (+82.8%), followed by </w:t>
      </w:r>
      <w:r>
        <w:rPr>
          <w:b/>
          <w:bCs/>
          <w:color w:val="000000" w:themeColor="text1"/>
          <w:sz w:val="24"/>
          <w:szCs w:val="24"/>
          <w:lang w:val="en"/>
        </w:rPr>
        <w:t>fresh apples</w:t>
      </w:r>
      <w:r>
        <w:rPr>
          <w:color w:val="000000" w:themeColor="text1"/>
          <w:sz w:val="24"/>
          <w:szCs w:val="24"/>
          <w:lang w:val="en"/>
        </w:rPr>
        <w:t xml:space="preserve"> (+67</w:t>
      </w:r>
      <w:proofErr w:type="gramStart"/>
      <w:r>
        <w:rPr>
          <w:color w:val="000000" w:themeColor="text1"/>
          <w:sz w:val="24"/>
          <w:szCs w:val="24"/>
          <w:lang w:val="en"/>
        </w:rPr>
        <w:t>,2</w:t>
      </w:r>
      <w:proofErr w:type="gramEnd"/>
      <w:r>
        <w:rPr>
          <w:color w:val="000000" w:themeColor="text1"/>
          <w:sz w:val="24"/>
          <w:szCs w:val="24"/>
          <w:lang w:val="en"/>
        </w:rPr>
        <w:t xml:space="preserve">%). </w:t>
      </w:r>
    </w:p>
    <w:p w:rsidR="00F00D95" w:rsidRPr="00262AAA" w:rsidRDefault="00E3189B">
      <w:pPr>
        <w:keepNext/>
        <w:jc w:val="center"/>
        <w:rPr>
          <w:i/>
          <w:iCs/>
          <w:color w:val="000000" w:themeColor="text1"/>
          <w:sz w:val="24"/>
          <w:szCs w:val="24"/>
          <w:lang w:val="en-US"/>
        </w:rPr>
      </w:pPr>
      <w:r>
        <w:rPr>
          <w:i/>
          <w:iCs/>
          <w:color w:val="000000" w:themeColor="text1"/>
          <w:sz w:val="24"/>
          <w:szCs w:val="24"/>
          <w:lang w:val="en"/>
        </w:rPr>
        <w:lastRenderedPageBreak/>
        <w:t>Table 3 – Main Products Exported from the “Fruit” Sector</w:t>
      </w:r>
    </w:p>
    <w:p w:rsidR="00F00D95" w:rsidRDefault="00E3189B">
      <w:pPr>
        <w:spacing w:after="0"/>
        <w:jc w:val="center"/>
        <w:rPr>
          <w:b/>
          <w:bCs/>
          <w:sz w:val="24"/>
          <w:szCs w:val="24"/>
          <w:u w:val="single"/>
        </w:rPr>
      </w:pPr>
      <w:r>
        <w:rPr>
          <w:noProof/>
          <w:lang w:eastAsia="pt-BR"/>
        </w:rPr>
        <w:drawing>
          <wp:inline distT="0" distB="5080" distL="0" distR="2540">
            <wp:extent cx="5941060" cy="2661920"/>
            <wp:effectExtent l="0" t="0" r="0" b="0"/>
            <wp:docPr id="1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4"/>
                    <pic:cNvPicPr>
                      <a:picLocks noChangeAspect="1" noChangeArrowheads="1"/>
                    </pic:cNvPicPr>
                  </pic:nvPicPr>
                  <pic:blipFill>
                    <a:blip r:embed="rId19"/>
                    <a:stretch>
                      <a:fillRect/>
                    </a:stretch>
                  </pic:blipFill>
                  <pic:spPr bwMode="auto">
                    <a:xfrm>
                      <a:off x="0" y="0"/>
                      <a:ext cx="5941060" cy="266192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ind w:firstLine="708"/>
        <w:jc w:val="both"/>
        <w:rPr>
          <w:color w:val="FF0000"/>
          <w:sz w:val="24"/>
          <w:szCs w:val="24"/>
          <w:lang w:val="en-US"/>
        </w:rPr>
      </w:pPr>
      <w:r>
        <w:rPr>
          <w:color w:val="000000" w:themeColor="text1"/>
          <w:sz w:val="24"/>
          <w:szCs w:val="24"/>
          <w:lang w:val="en"/>
        </w:rPr>
        <w:t xml:space="preserve">The main destinations of Brazilian fruits in June 2021 were: </w:t>
      </w:r>
      <w:r>
        <w:rPr>
          <w:b/>
          <w:color w:val="000000" w:themeColor="text1"/>
          <w:sz w:val="24"/>
          <w:szCs w:val="24"/>
          <w:lang w:val="en"/>
        </w:rPr>
        <w:t xml:space="preserve">European Union </w:t>
      </w:r>
      <w:r>
        <w:rPr>
          <w:color w:val="000000" w:themeColor="text1"/>
          <w:sz w:val="24"/>
          <w:szCs w:val="24"/>
          <w:lang w:val="en"/>
        </w:rPr>
        <w:t xml:space="preserve">(49.1%; US$ 42.1 million), </w:t>
      </w:r>
      <w:r>
        <w:rPr>
          <w:b/>
          <w:bCs/>
          <w:color w:val="000000" w:themeColor="text1"/>
          <w:sz w:val="24"/>
          <w:szCs w:val="24"/>
          <w:lang w:val="en"/>
        </w:rPr>
        <w:t xml:space="preserve">United States </w:t>
      </w:r>
      <w:r>
        <w:rPr>
          <w:color w:val="000000" w:themeColor="text1"/>
          <w:sz w:val="24"/>
          <w:szCs w:val="24"/>
          <w:lang w:val="en"/>
        </w:rPr>
        <w:t xml:space="preserve">(13.3%; US$ 11.4 million), </w:t>
      </w:r>
      <w:r>
        <w:rPr>
          <w:b/>
          <w:bCs/>
          <w:color w:val="000000" w:themeColor="text1"/>
          <w:sz w:val="24"/>
          <w:szCs w:val="24"/>
          <w:lang w:val="en"/>
        </w:rPr>
        <w:t xml:space="preserve">United Kingdom </w:t>
      </w:r>
      <w:r>
        <w:rPr>
          <w:color w:val="000000" w:themeColor="text1"/>
          <w:sz w:val="24"/>
          <w:szCs w:val="24"/>
          <w:lang w:val="en"/>
        </w:rPr>
        <w:t xml:space="preserve">(10.2%; US$ 8.8 million), </w:t>
      </w:r>
      <w:r>
        <w:rPr>
          <w:b/>
          <w:color w:val="000000" w:themeColor="text1"/>
          <w:sz w:val="24"/>
          <w:szCs w:val="24"/>
          <w:lang w:val="en"/>
        </w:rPr>
        <w:t xml:space="preserve">Argentina </w:t>
      </w:r>
      <w:r>
        <w:rPr>
          <w:color w:val="000000" w:themeColor="text1"/>
          <w:sz w:val="24"/>
          <w:szCs w:val="24"/>
          <w:lang w:val="en"/>
        </w:rPr>
        <w:t>(5</w:t>
      </w:r>
      <w:proofErr w:type="gramStart"/>
      <w:r>
        <w:rPr>
          <w:color w:val="000000" w:themeColor="text1"/>
          <w:sz w:val="24"/>
          <w:szCs w:val="24"/>
          <w:lang w:val="en"/>
        </w:rPr>
        <w:t>,1</w:t>
      </w:r>
      <w:proofErr w:type="gramEnd"/>
      <w:r>
        <w:rPr>
          <w:color w:val="000000" w:themeColor="text1"/>
          <w:sz w:val="24"/>
          <w:szCs w:val="24"/>
          <w:lang w:val="en"/>
        </w:rPr>
        <w:t xml:space="preserve">%; US$ 4,4 million), and </w:t>
      </w:r>
      <w:r>
        <w:rPr>
          <w:b/>
          <w:bCs/>
          <w:color w:val="000000" w:themeColor="text1"/>
          <w:sz w:val="24"/>
          <w:szCs w:val="24"/>
          <w:lang w:val="en"/>
        </w:rPr>
        <w:t xml:space="preserve">Russia </w:t>
      </w:r>
      <w:r>
        <w:rPr>
          <w:color w:val="000000" w:themeColor="text1"/>
          <w:sz w:val="24"/>
          <w:szCs w:val="24"/>
          <w:lang w:val="en"/>
        </w:rPr>
        <w:t xml:space="preserve">(4.6%; US$ 3.9 million). The most significant expansion (+66.3%) occurred in exports to </w:t>
      </w:r>
      <w:r>
        <w:rPr>
          <w:b/>
          <w:bCs/>
          <w:color w:val="000000" w:themeColor="text1"/>
          <w:sz w:val="24"/>
          <w:szCs w:val="24"/>
          <w:lang w:val="en"/>
        </w:rPr>
        <w:t>Argentina</w:t>
      </w:r>
      <w:r>
        <w:rPr>
          <w:bCs/>
          <w:sz w:val="24"/>
          <w:szCs w:val="24"/>
          <w:lang w:val="en"/>
        </w:rPr>
        <w:t>,</w:t>
      </w:r>
      <w:r>
        <w:rPr>
          <w:color w:val="000000" w:themeColor="text1"/>
          <w:sz w:val="24"/>
          <w:szCs w:val="24"/>
          <w:lang w:val="en"/>
        </w:rPr>
        <w:t xml:space="preserve"> </w:t>
      </w:r>
      <w:r>
        <w:rPr>
          <w:bCs/>
          <w:sz w:val="24"/>
          <w:szCs w:val="24"/>
          <w:lang w:val="en"/>
        </w:rPr>
        <w:t>especially for watermelons (+US$ 376</w:t>
      </w:r>
      <w:proofErr w:type="gramStart"/>
      <w:r>
        <w:rPr>
          <w:bCs/>
          <w:sz w:val="24"/>
          <w:szCs w:val="24"/>
          <w:lang w:val="en"/>
        </w:rPr>
        <w:t>,7</w:t>
      </w:r>
      <w:proofErr w:type="gramEnd"/>
      <w:r>
        <w:rPr>
          <w:bCs/>
          <w:sz w:val="24"/>
          <w:szCs w:val="24"/>
          <w:lang w:val="en"/>
        </w:rPr>
        <w:t xml:space="preserve"> thousand) and grapes (+US$ 366,1 thousand)</w:t>
      </w:r>
      <w:r>
        <w:rPr>
          <w:color w:val="000000" w:themeColor="text1"/>
          <w:sz w:val="24"/>
          <w:szCs w:val="24"/>
          <w:lang w:val="en"/>
        </w:rPr>
        <w:t>. These top five destinations accounted for 82.3% of the sector's exports in June 2021.</w:t>
      </w:r>
    </w:p>
    <w:p w:rsidR="00F00D95" w:rsidRPr="00262AAA" w:rsidRDefault="00E3189B">
      <w:pPr>
        <w:jc w:val="both"/>
        <w:rPr>
          <w:b/>
          <w:bCs/>
          <w:color w:val="000000" w:themeColor="text1"/>
          <w:sz w:val="24"/>
          <w:szCs w:val="24"/>
          <w:u w:val="single"/>
          <w:lang w:val="en-US"/>
        </w:rPr>
      </w:pPr>
      <w:r>
        <w:rPr>
          <w:b/>
          <w:bCs/>
          <w:color w:val="000000" w:themeColor="text1"/>
          <w:sz w:val="24"/>
          <w:szCs w:val="24"/>
          <w:u w:val="single"/>
          <w:lang w:val="en"/>
        </w:rPr>
        <w:t>Dairy products</w:t>
      </w:r>
    </w:p>
    <w:p w:rsidR="00F00D95" w:rsidRPr="00262AAA" w:rsidRDefault="00E3189B">
      <w:pPr>
        <w:ind w:firstLine="708"/>
        <w:jc w:val="both"/>
        <w:rPr>
          <w:b/>
          <w:bCs/>
          <w:color w:val="FF0000"/>
          <w:sz w:val="24"/>
          <w:szCs w:val="24"/>
          <w:lang w:val="en-US"/>
        </w:rPr>
      </w:pPr>
      <w:r>
        <w:rPr>
          <w:color w:val="000000" w:themeColor="text1"/>
          <w:sz w:val="24"/>
          <w:szCs w:val="24"/>
          <w:lang w:val="en"/>
        </w:rPr>
        <w:t xml:space="preserve">Exports of </w:t>
      </w:r>
      <w:r>
        <w:rPr>
          <w:b/>
          <w:color w:val="000000" w:themeColor="text1"/>
          <w:sz w:val="24"/>
          <w:szCs w:val="24"/>
          <w:lang w:val="en"/>
        </w:rPr>
        <w:t xml:space="preserve">dairy products </w:t>
      </w:r>
      <w:r>
        <w:rPr>
          <w:color w:val="000000" w:themeColor="text1"/>
          <w:sz w:val="24"/>
          <w:szCs w:val="24"/>
          <w:lang w:val="en"/>
        </w:rPr>
        <w:t xml:space="preserve">totaled US$ 11.2 million in June 2021, 102.9% growth compared to June 2020. In the highlighted month, Table 4 shows that the main products exported from this sector were: </w:t>
      </w:r>
      <w:r>
        <w:rPr>
          <w:b/>
          <w:bCs/>
          <w:color w:val="000000" w:themeColor="text1"/>
          <w:sz w:val="24"/>
          <w:szCs w:val="24"/>
          <w:lang w:val="en"/>
        </w:rPr>
        <w:t xml:space="preserve">milk powder </w:t>
      </w:r>
      <w:r>
        <w:rPr>
          <w:color w:val="000000" w:themeColor="text1"/>
          <w:sz w:val="24"/>
          <w:szCs w:val="24"/>
          <w:lang w:val="en"/>
        </w:rPr>
        <w:t xml:space="preserve">(US$ 5.5 million), </w:t>
      </w:r>
      <w:r>
        <w:rPr>
          <w:b/>
          <w:color w:val="000000" w:themeColor="text1"/>
          <w:sz w:val="24"/>
          <w:szCs w:val="24"/>
          <w:lang w:val="en"/>
        </w:rPr>
        <w:t xml:space="preserve">cheese </w:t>
      </w:r>
      <w:r>
        <w:rPr>
          <w:color w:val="000000" w:themeColor="text1"/>
          <w:sz w:val="24"/>
          <w:szCs w:val="24"/>
          <w:lang w:val="en"/>
        </w:rPr>
        <w:t xml:space="preserve">(US$ 1.2 million), </w:t>
      </w:r>
      <w:r>
        <w:rPr>
          <w:b/>
          <w:bCs/>
          <w:color w:val="000000" w:themeColor="text1"/>
          <w:sz w:val="24"/>
          <w:szCs w:val="24"/>
          <w:lang w:val="en"/>
        </w:rPr>
        <w:t>modified milk</w:t>
      </w:r>
      <w:r>
        <w:rPr>
          <w:color w:val="000000" w:themeColor="text1"/>
          <w:sz w:val="24"/>
          <w:szCs w:val="24"/>
          <w:lang w:val="en"/>
        </w:rPr>
        <w:t xml:space="preserve"> (US$ 1.1 million), </w:t>
      </w:r>
      <w:r>
        <w:rPr>
          <w:b/>
          <w:bCs/>
          <w:color w:val="000000" w:themeColor="text1"/>
          <w:sz w:val="24"/>
          <w:szCs w:val="24"/>
          <w:lang w:val="en"/>
        </w:rPr>
        <w:t xml:space="preserve">condensed milk </w:t>
      </w:r>
      <w:r>
        <w:rPr>
          <w:color w:val="000000" w:themeColor="text1"/>
          <w:sz w:val="24"/>
          <w:szCs w:val="24"/>
          <w:lang w:val="en"/>
        </w:rPr>
        <w:t>(US$ 1.0 million) and</w:t>
      </w:r>
      <w:r>
        <w:rPr>
          <w:b/>
          <w:color w:val="000000" w:themeColor="text1"/>
          <w:sz w:val="24"/>
          <w:szCs w:val="24"/>
          <w:lang w:val="en"/>
        </w:rPr>
        <w:t xml:space="preserve"> whipped cream</w:t>
      </w:r>
      <w:r>
        <w:rPr>
          <w:color w:val="000000" w:themeColor="text1"/>
          <w:sz w:val="24"/>
          <w:szCs w:val="24"/>
          <w:lang w:val="en"/>
        </w:rPr>
        <w:t xml:space="preserve"> (US$ 980.3 thousand). Added up, they accounted for 87.5% of the sector's foreign sales. In the aggregate year until June, exports from the sector reached US$ 54.8 million, an expansion of 62.7% compared to the same period of 2020.</w:t>
      </w:r>
    </w:p>
    <w:p w:rsidR="00F00D95" w:rsidRPr="00262AAA" w:rsidRDefault="00E3189B">
      <w:pPr>
        <w:keepNext/>
        <w:jc w:val="center"/>
        <w:rPr>
          <w:i/>
          <w:iCs/>
          <w:color w:val="000000" w:themeColor="text1"/>
          <w:sz w:val="24"/>
          <w:szCs w:val="24"/>
          <w:lang w:val="en-US"/>
        </w:rPr>
      </w:pPr>
      <w:r>
        <w:rPr>
          <w:i/>
          <w:iCs/>
          <w:color w:val="000000" w:themeColor="text1"/>
          <w:sz w:val="24"/>
          <w:szCs w:val="24"/>
          <w:lang w:val="en"/>
        </w:rPr>
        <w:t>Table 4 – Main Products Exported from the "Dairy" Sector</w:t>
      </w:r>
    </w:p>
    <w:p w:rsidR="00F00D95" w:rsidRDefault="00E3189B">
      <w:pPr>
        <w:spacing w:after="0"/>
        <w:jc w:val="center"/>
        <w:rPr>
          <w:b/>
          <w:bCs/>
          <w:sz w:val="24"/>
          <w:szCs w:val="24"/>
          <w:u w:val="single"/>
        </w:rPr>
      </w:pPr>
      <w:r>
        <w:rPr>
          <w:noProof/>
          <w:lang w:eastAsia="pt-BR"/>
        </w:rPr>
        <w:drawing>
          <wp:inline distT="0" distB="5715" distL="0" distR="2540">
            <wp:extent cx="5941060" cy="1880235"/>
            <wp:effectExtent l="0" t="0" r="0" b="0"/>
            <wp:docPr id="1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7"/>
                    <pic:cNvPicPr>
                      <a:picLocks noChangeAspect="1" noChangeArrowheads="1"/>
                    </pic:cNvPicPr>
                  </pic:nvPicPr>
                  <pic:blipFill>
                    <a:blip r:embed="rId20"/>
                    <a:stretch>
                      <a:fillRect/>
                    </a:stretch>
                  </pic:blipFill>
                  <pic:spPr bwMode="auto">
                    <a:xfrm>
                      <a:off x="0" y="0"/>
                      <a:ext cx="5941060" cy="1880235"/>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ind w:firstLine="708"/>
        <w:jc w:val="both"/>
        <w:rPr>
          <w:color w:val="FF0000"/>
          <w:sz w:val="24"/>
          <w:szCs w:val="24"/>
          <w:lang w:val="en-US"/>
        </w:rPr>
      </w:pPr>
      <w:r>
        <w:rPr>
          <w:color w:val="000000" w:themeColor="text1"/>
          <w:sz w:val="24"/>
          <w:szCs w:val="24"/>
          <w:lang w:val="en"/>
        </w:rPr>
        <w:lastRenderedPageBreak/>
        <w:t xml:space="preserve">In June 2021, the main destinations of </w:t>
      </w:r>
      <w:r>
        <w:rPr>
          <w:b/>
          <w:color w:val="000000" w:themeColor="text1"/>
          <w:sz w:val="24"/>
          <w:szCs w:val="24"/>
          <w:lang w:val="en"/>
        </w:rPr>
        <w:t>dairy products</w:t>
      </w:r>
      <w:r>
        <w:rPr>
          <w:color w:val="000000" w:themeColor="text1"/>
          <w:sz w:val="24"/>
          <w:szCs w:val="24"/>
          <w:lang w:val="en"/>
        </w:rPr>
        <w:t xml:space="preserve"> from Brazil, were: </w:t>
      </w:r>
      <w:r>
        <w:rPr>
          <w:b/>
          <w:color w:val="000000" w:themeColor="text1"/>
          <w:sz w:val="24"/>
          <w:szCs w:val="24"/>
          <w:lang w:val="en"/>
        </w:rPr>
        <w:t xml:space="preserve">Algeria </w:t>
      </w:r>
      <w:r>
        <w:rPr>
          <w:color w:val="000000" w:themeColor="text1"/>
          <w:sz w:val="24"/>
          <w:szCs w:val="24"/>
          <w:lang w:val="en"/>
        </w:rPr>
        <w:t xml:space="preserve">(48.5%; US$ 5.4 million), </w:t>
      </w:r>
      <w:r>
        <w:rPr>
          <w:b/>
          <w:bCs/>
          <w:color w:val="000000" w:themeColor="text1"/>
          <w:sz w:val="24"/>
          <w:szCs w:val="24"/>
          <w:lang w:val="en"/>
        </w:rPr>
        <w:t xml:space="preserve">Venezuela </w:t>
      </w:r>
      <w:r>
        <w:rPr>
          <w:color w:val="000000" w:themeColor="text1"/>
          <w:sz w:val="24"/>
          <w:szCs w:val="24"/>
          <w:lang w:val="en"/>
        </w:rPr>
        <w:t xml:space="preserve">(12.0%; US$ 1.3 million), </w:t>
      </w:r>
      <w:r>
        <w:rPr>
          <w:b/>
          <w:color w:val="000000" w:themeColor="text1"/>
          <w:sz w:val="24"/>
          <w:szCs w:val="24"/>
          <w:lang w:val="en"/>
        </w:rPr>
        <w:t xml:space="preserve">Chile </w:t>
      </w:r>
      <w:r>
        <w:rPr>
          <w:color w:val="000000" w:themeColor="text1"/>
          <w:sz w:val="24"/>
          <w:szCs w:val="24"/>
          <w:lang w:val="en"/>
        </w:rPr>
        <w:t xml:space="preserve">(7.4%; US$ 831.9 thousand), </w:t>
      </w:r>
      <w:r>
        <w:rPr>
          <w:b/>
          <w:color w:val="000000" w:themeColor="text1"/>
          <w:sz w:val="24"/>
          <w:szCs w:val="24"/>
          <w:lang w:val="en"/>
        </w:rPr>
        <w:t xml:space="preserve">Argentina </w:t>
      </w:r>
      <w:r>
        <w:rPr>
          <w:color w:val="000000" w:themeColor="text1"/>
          <w:sz w:val="24"/>
          <w:szCs w:val="24"/>
          <w:lang w:val="en"/>
        </w:rPr>
        <w:t>(4</w:t>
      </w:r>
      <w:proofErr w:type="gramStart"/>
      <w:r>
        <w:rPr>
          <w:color w:val="000000" w:themeColor="text1"/>
          <w:sz w:val="24"/>
          <w:szCs w:val="24"/>
          <w:lang w:val="en"/>
        </w:rPr>
        <w:t>,6</w:t>
      </w:r>
      <w:proofErr w:type="gramEnd"/>
      <w:r>
        <w:rPr>
          <w:color w:val="000000" w:themeColor="text1"/>
          <w:sz w:val="24"/>
          <w:szCs w:val="24"/>
          <w:lang w:val="en"/>
        </w:rPr>
        <w:t xml:space="preserve">%; US$ 517,0 thousand) and </w:t>
      </w:r>
      <w:r>
        <w:rPr>
          <w:b/>
          <w:bCs/>
          <w:color w:val="000000" w:themeColor="text1"/>
          <w:sz w:val="24"/>
          <w:szCs w:val="24"/>
          <w:lang w:val="en"/>
        </w:rPr>
        <w:t xml:space="preserve">Uruguay </w:t>
      </w:r>
      <w:r>
        <w:rPr>
          <w:color w:val="000000" w:themeColor="text1"/>
          <w:sz w:val="24"/>
          <w:szCs w:val="24"/>
          <w:lang w:val="en"/>
        </w:rPr>
        <w:t xml:space="preserve">(4,3%; US$ 486,2 thousand). These countries accounted for 76.9% of Brazilian exports of the sector. Regarding the variations in </w:t>
      </w:r>
      <w:proofErr w:type="spellStart"/>
      <w:proofErr w:type="gramStart"/>
      <w:r>
        <w:rPr>
          <w:color w:val="000000" w:themeColor="text1"/>
          <w:sz w:val="24"/>
          <w:szCs w:val="24"/>
          <w:lang w:val="en"/>
        </w:rPr>
        <w:t>brazilian</w:t>
      </w:r>
      <w:proofErr w:type="spellEnd"/>
      <w:proofErr w:type="gramEnd"/>
      <w:r>
        <w:rPr>
          <w:color w:val="000000" w:themeColor="text1"/>
          <w:sz w:val="24"/>
          <w:szCs w:val="24"/>
          <w:lang w:val="en"/>
        </w:rPr>
        <w:t xml:space="preserve"> foreign sales to these destinations, the greatest were recorded for </w:t>
      </w:r>
      <w:r>
        <w:rPr>
          <w:b/>
          <w:bCs/>
          <w:color w:val="000000" w:themeColor="text1"/>
          <w:sz w:val="24"/>
          <w:szCs w:val="24"/>
          <w:lang w:val="en"/>
        </w:rPr>
        <w:t>Uruguay</w:t>
      </w:r>
      <w:r>
        <w:rPr>
          <w:color w:val="000000" w:themeColor="text1"/>
          <w:sz w:val="24"/>
          <w:szCs w:val="24"/>
          <w:lang w:val="en"/>
        </w:rPr>
        <w:t xml:space="preserve"> (+370.9%), especially butter (+US$ 207.5 thousand), and for </w:t>
      </w:r>
      <w:r>
        <w:rPr>
          <w:b/>
          <w:bCs/>
          <w:color w:val="000000" w:themeColor="text1"/>
          <w:sz w:val="24"/>
          <w:szCs w:val="24"/>
          <w:lang w:val="en"/>
        </w:rPr>
        <w:t>Argentina</w:t>
      </w:r>
      <w:r>
        <w:rPr>
          <w:color w:val="000000" w:themeColor="text1"/>
          <w:sz w:val="24"/>
          <w:szCs w:val="24"/>
          <w:lang w:val="en"/>
        </w:rPr>
        <w:t xml:space="preserve"> (+19.9%), especially cheese (+US$ 38.4 thousand). </w:t>
      </w:r>
    </w:p>
    <w:p w:rsidR="00F00D95" w:rsidRPr="00262AAA" w:rsidRDefault="00F00D95">
      <w:pPr>
        <w:jc w:val="both"/>
        <w:rPr>
          <w:b/>
          <w:bCs/>
          <w:color w:val="FF0000"/>
          <w:sz w:val="24"/>
          <w:szCs w:val="24"/>
          <w:u w:val="single"/>
          <w:lang w:val="en-US"/>
        </w:rPr>
      </w:pPr>
    </w:p>
    <w:p w:rsidR="00F00D95" w:rsidRPr="00262AAA" w:rsidRDefault="00E3189B">
      <w:pPr>
        <w:jc w:val="both"/>
        <w:rPr>
          <w:b/>
          <w:bCs/>
          <w:color w:val="000000" w:themeColor="text1"/>
          <w:sz w:val="24"/>
          <w:szCs w:val="24"/>
          <w:u w:val="single"/>
          <w:lang w:val="en-US"/>
        </w:rPr>
      </w:pPr>
      <w:r>
        <w:rPr>
          <w:b/>
          <w:bCs/>
          <w:color w:val="000000" w:themeColor="text1"/>
          <w:sz w:val="24"/>
          <w:szCs w:val="24"/>
          <w:u w:val="single"/>
          <w:lang w:val="en"/>
        </w:rPr>
        <w:t>Fish</w:t>
      </w:r>
    </w:p>
    <w:p w:rsidR="00F00D95" w:rsidRPr="00262AAA" w:rsidRDefault="00E3189B">
      <w:pPr>
        <w:ind w:firstLine="708"/>
        <w:jc w:val="both"/>
        <w:rPr>
          <w:color w:val="FF0000"/>
          <w:sz w:val="24"/>
          <w:szCs w:val="24"/>
          <w:lang w:val="en-US"/>
        </w:rPr>
      </w:pPr>
      <w:r>
        <w:rPr>
          <w:color w:val="000000" w:themeColor="text1"/>
          <w:sz w:val="24"/>
          <w:szCs w:val="24"/>
          <w:lang w:val="en"/>
        </w:rPr>
        <w:t xml:space="preserve">The </w:t>
      </w:r>
      <w:r>
        <w:rPr>
          <w:b/>
          <w:color w:val="000000" w:themeColor="text1"/>
          <w:sz w:val="24"/>
          <w:szCs w:val="24"/>
          <w:lang w:val="en"/>
        </w:rPr>
        <w:t>fish</w:t>
      </w:r>
      <w:r>
        <w:rPr>
          <w:color w:val="000000" w:themeColor="text1"/>
          <w:sz w:val="24"/>
          <w:szCs w:val="24"/>
          <w:lang w:val="en"/>
        </w:rPr>
        <w:t xml:space="preserve"> industry exported US$ 28.7 million in June 2021. This figure represents an expansion of 48.1% compared to the same month in 2020. In the aggregate year until June, exports from the sector totaled US$ 111.1 million, 22.8% growth compared to the same period of 2020.</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main Brazilian products sold abroad in June were: </w:t>
      </w:r>
      <w:r>
        <w:rPr>
          <w:b/>
          <w:color w:val="000000" w:themeColor="text1"/>
          <w:sz w:val="24"/>
          <w:szCs w:val="24"/>
          <w:lang w:val="en"/>
        </w:rPr>
        <w:t xml:space="preserve">lobsters, frozen </w:t>
      </w:r>
      <w:r>
        <w:rPr>
          <w:color w:val="000000" w:themeColor="text1"/>
          <w:sz w:val="24"/>
          <w:szCs w:val="24"/>
          <w:lang w:val="en"/>
        </w:rPr>
        <w:t xml:space="preserve">(US$ 7.7 million), </w:t>
      </w:r>
      <w:r>
        <w:rPr>
          <w:b/>
          <w:color w:val="000000" w:themeColor="text1"/>
          <w:sz w:val="24"/>
          <w:szCs w:val="24"/>
          <w:lang w:val="en"/>
        </w:rPr>
        <w:t xml:space="preserve">other frozen fish </w:t>
      </w:r>
      <w:r>
        <w:rPr>
          <w:color w:val="000000" w:themeColor="text1"/>
          <w:sz w:val="24"/>
          <w:szCs w:val="24"/>
          <w:lang w:val="en"/>
        </w:rPr>
        <w:t xml:space="preserve">(US$ 6.7 million), </w:t>
      </w:r>
      <w:r>
        <w:rPr>
          <w:b/>
          <w:bCs/>
          <w:color w:val="000000" w:themeColor="text1"/>
          <w:sz w:val="24"/>
          <w:szCs w:val="24"/>
          <w:lang w:val="en"/>
        </w:rPr>
        <w:t xml:space="preserve">frozen snapper </w:t>
      </w:r>
      <w:r>
        <w:rPr>
          <w:color w:val="000000" w:themeColor="text1"/>
          <w:sz w:val="24"/>
          <w:szCs w:val="24"/>
          <w:lang w:val="en"/>
        </w:rPr>
        <w:t xml:space="preserve">(US$ 3.4 million), </w:t>
      </w:r>
      <w:r>
        <w:rPr>
          <w:b/>
          <w:bCs/>
          <w:color w:val="000000" w:themeColor="text1"/>
          <w:sz w:val="24"/>
          <w:szCs w:val="24"/>
          <w:lang w:val="en"/>
        </w:rPr>
        <w:t xml:space="preserve">other fresh or chilled fish </w:t>
      </w:r>
      <w:r>
        <w:rPr>
          <w:color w:val="000000" w:themeColor="text1"/>
          <w:sz w:val="24"/>
          <w:szCs w:val="24"/>
          <w:lang w:val="en"/>
        </w:rPr>
        <w:t xml:space="preserve">(US$ 3.3 million) and </w:t>
      </w:r>
      <w:r>
        <w:rPr>
          <w:b/>
          <w:bCs/>
          <w:color w:val="000000" w:themeColor="text1"/>
          <w:sz w:val="24"/>
          <w:szCs w:val="24"/>
          <w:lang w:val="en"/>
        </w:rPr>
        <w:t xml:space="preserve">other dried, salted or smoked fish </w:t>
      </w:r>
      <w:r>
        <w:rPr>
          <w:color w:val="000000" w:themeColor="text1"/>
          <w:sz w:val="24"/>
          <w:szCs w:val="24"/>
          <w:lang w:val="en"/>
        </w:rPr>
        <w:t>(US$ 1.8 million). These products' share accounts for 79.8% of the total exported fish, as shown in Table 5.</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Regarding growth dynamics, among the products analyzed in Table 5, </w:t>
      </w:r>
      <w:r>
        <w:rPr>
          <w:b/>
          <w:bCs/>
          <w:color w:val="000000" w:themeColor="text1"/>
          <w:sz w:val="24"/>
          <w:szCs w:val="24"/>
          <w:lang w:val="en"/>
        </w:rPr>
        <w:t xml:space="preserve">lobsters, frozen </w:t>
      </w:r>
      <w:r>
        <w:rPr>
          <w:color w:val="000000" w:themeColor="text1"/>
          <w:sz w:val="24"/>
          <w:szCs w:val="24"/>
          <w:lang w:val="en"/>
        </w:rPr>
        <w:t xml:space="preserve">was higher than the others, with 170.3% growth compared to June 2020, that is, a value US$ 4.8 million higher. On the other hand, the only product in which there was a drop was </w:t>
      </w:r>
      <w:r>
        <w:rPr>
          <w:b/>
          <w:color w:val="000000" w:themeColor="text1"/>
          <w:sz w:val="24"/>
          <w:szCs w:val="24"/>
          <w:lang w:val="en"/>
        </w:rPr>
        <w:t xml:space="preserve">other dried, salted or smoked </w:t>
      </w:r>
      <w:proofErr w:type="gramStart"/>
      <w:r>
        <w:rPr>
          <w:b/>
          <w:color w:val="000000" w:themeColor="text1"/>
          <w:sz w:val="24"/>
          <w:szCs w:val="24"/>
          <w:lang w:val="en"/>
        </w:rPr>
        <w:t>fish,</w:t>
      </w:r>
      <w:r>
        <w:rPr>
          <w:color w:val="000000" w:themeColor="text1"/>
          <w:sz w:val="24"/>
          <w:szCs w:val="24"/>
          <w:lang w:val="en"/>
        </w:rPr>
        <w:t xml:space="preserve"> that</w:t>
      </w:r>
      <w:proofErr w:type="gramEnd"/>
      <w:r>
        <w:rPr>
          <w:color w:val="000000" w:themeColor="text1"/>
          <w:sz w:val="24"/>
          <w:szCs w:val="24"/>
          <w:lang w:val="en"/>
        </w:rPr>
        <w:t xml:space="preserve"> had a retraction of 46.5%.</w:t>
      </w:r>
    </w:p>
    <w:p w:rsidR="00F00D95" w:rsidRPr="00262AAA" w:rsidRDefault="00E3189B">
      <w:pPr>
        <w:ind w:firstLine="708"/>
        <w:jc w:val="both"/>
        <w:rPr>
          <w:color w:val="FF0000"/>
          <w:sz w:val="24"/>
          <w:szCs w:val="24"/>
          <w:lang w:val="en-US"/>
        </w:rPr>
      </w:pPr>
      <w:r>
        <w:rPr>
          <w:color w:val="000000" w:themeColor="text1"/>
          <w:sz w:val="24"/>
          <w:szCs w:val="24"/>
          <w:lang w:val="en"/>
        </w:rPr>
        <w:t>In June 2021, tilapia sales</w:t>
      </w:r>
      <w:r>
        <w:rPr>
          <w:rStyle w:val="FootnoteAnchor"/>
          <w:color w:val="000000" w:themeColor="text1"/>
          <w:sz w:val="24"/>
          <w:szCs w:val="24"/>
        </w:rPr>
        <w:footnoteReference w:id="3"/>
      </w:r>
      <w:r>
        <w:rPr>
          <w:color w:val="000000" w:themeColor="text1"/>
          <w:sz w:val="24"/>
          <w:szCs w:val="24"/>
          <w:lang w:val="en"/>
        </w:rPr>
        <w:t xml:space="preserve"> </w:t>
      </w:r>
      <w:r>
        <w:rPr>
          <w:sz w:val="24"/>
          <w:szCs w:val="24"/>
          <w:lang w:val="en"/>
        </w:rPr>
        <w:t>(frozen, fresh or chilled, live, in fillets, frozen, fresh or chilled)</w:t>
      </w:r>
      <w:r>
        <w:rPr>
          <w:color w:val="000000" w:themeColor="text1"/>
          <w:sz w:val="24"/>
          <w:szCs w:val="24"/>
          <w:lang w:val="en"/>
        </w:rPr>
        <w:t xml:space="preserve"> abroad increased 168.7 tons, an increase of 208.6% compared to 2020, while shrimps</w:t>
      </w:r>
      <w:r>
        <w:rPr>
          <w:rStyle w:val="FootnoteAnchor"/>
          <w:color w:val="000000" w:themeColor="text1"/>
          <w:sz w:val="24"/>
          <w:szCs w:val="24"/>
        </w:rPr>
        <w:footnoteReference w:id="4"/>
      </w:r>
      <w:r>
        <w:rPr>
          <w:color w:val="000000" w:themeColor="text1"/>
          <w:sz w:val="24"/>
          <w:szCs w:val="24"/>
          <w:lang w:val="en"/>
        </w:rPr>
        <w:t xml:space="preserve"> advanced 39.3 tons (151.8%).</w:t>
      </w:r>
    </w:p>
    <w:p w:rsidR="00F00D95" w:rsidRPr="00262AAA" w:rsidRDefault="00E3189B">
      <w:pPr>
        <w:keepNext/>
        <w:jc w:val="center"/>
        <w:rPr>
          <w:i/>
          <w:iCs/>
          <w:color w:val="000000" w:themeColor="text1"/>
          <w:sz w:val="24"/>
          <w:szCs w:val="24"/>
          <w:lang w:val="en-US"/>
        </w:rPr>
      </w:pPr>
      <w:r>
        <w:rPr>
          <w:i/>
          <w:iCs/>
          <w:color w:val="000000" w:themeColor="text1"/>
          <w:sz w:val="24"/>
          <w:szCs w:val="24"/>
          <w:lang w:val="en"/>
        </w:rPr>
        <w:t>Table 5 – Main Products Exported from the “Fish” Sector</w:t>
      </w:r>
    </w:p>
    <w:p w:rsidR="00F00D95" w:rsidRDefault="00E3189B">
      <w:pPr>
        <w:spacing w:after="0"/>
        <w:jc w:val="both"/>
        <w:rPr>
          <w:b/>
          <w:bCs/>
          <w:sz w:val="24"/>
          <w:szCs w:val="24"/>
          <w:u w:val="single"/>
        </w:rPr>
      </w:pPr>
      <w:r>
        <w:rPr>
          <w:noProof/>
          <w:lang w:eastAsia="pt-BR"/>
        </w:rPr>
        <w:drawing>
          <wp:inline distT="0" distB="0" distL="0" distR="2540">
            <wp:extent cx="5941060" cy="2179320"/>
            <wp:effectExtent l="0" t="0" r="0" b="0"/>
            <wp:docPr id="16"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47"/>
                    <pic:cNvPicPr>
                      <a:picLocks noChangeAspect="1" noChangeArrowheads="1"/>
                    </pic:cNvPicPr>
                  </pic:nvPicPr>
                  <pic:blipFill>
                    <a:blip r:embed="rId21"/>
                    <a:stretch>
                      <a:fillRect/>
                    </a:stretch>
                  </pic:blipFill>
                  <pic:spPr bwMode="auto">
                    <a:xfrm>
                      <a:off x="0" y="0"/>
                      <a:ext cx="5941060" cy="2179320"/>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lastRenderedPageBreak/>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ind w:firstLine="708"/>
        <w:jc w:val="both"/>
        <w:rPr>
          <w:color w:val="FF0000"/>
          <w:sz w:val="24"/>
          <w:szCs w:val="24"/>
          <w:lang w:val="en-US"/>
        </w:rPr>
      </w:pPr>
      <w:r>
        <w:rPr>
          <w:color w:val="000000" w:themeColor="text1"/>
          <w:sz w:val="24"/>
          <w:szCs w:val="24"/>
          <w:lang w:val="en"/>
        </w:rPr>
        <w:t xml:space="preserve">In June 2021, the </w:t>
      </w:r>
      <w:proofErr w:type="gramStart"/>
      <w:r>
        <w:rPr>
          <w:color w:val="000000" w:themeColor="text1"/>
          <w:sz w:val="24"/>
          <w:szCs w:val="24"/>
          <w:lang w:val="en"/>
        </w:rPr>
        <w:t>destination of 57.7% of fish exports were</w:t>
      </w:r>
      <w:proofErr w:type="gramEnd"/>
      <w:r>
        <w:rPr>
          <w:color w:val="000000" w:themeColor="text1"/>
          <w:sz w:val="24"/>
          <w:szCs w:val="24"/>
          <w:lang w:val="en"/>
        </w:rPr>
        <w:t xml:space="preserve"> the </w:t>
      </w:r>
      <w:r>
        <w:rPr>
          <w:b/>
          <w:bCs/>
          <w:color w:val="000000" w:themeColor="text1"/>
          <w:sz w:val="24"/>
          <w:szCs w:val="24"/>
          <w:lang w:val="en"/>
        </w:rPr>
        <w:t>United States</w:t>
      </w:r>
      <w:r>
        <w:rPr>
          <w:color w:val="000000" w:themeColor="text1"/>
          <w:sz w:val="24"/>
          <w:szCs w:val="24"/>
          <w:lang w:val="en"/>
        </w:rPr>
        <w:t xml:space="preserve"> (US$ 16.6 million). Followed by </w:t>
      </w:r>
      <w:r>
        <w:rPr>
          <w:b/>
          <w:bCs/>
          <w:color w:val="000000" w:themeColor="text1"/>
          <w:sz w:val="24"/>
          <w:szCs w:val="24"/>
          <w:lang w:val="en"/>
        </w:rPr>
        <w:t xml:space="preserve">China </w:t>
      </w:r>
      <w:r>
        <w:rPr>
          <w:color w:val="000000" w:themeColor="text1"/>
          <w:sz w:val="24"/>
          <w:szCs w:val="24"/>
          <w:lang w:val="en"/>
        </w:rPr>
        <w:t xml:space="preserve">(8.5%; US$ 2.4 million), </w:t>
      </w:r>
      <w:r>
        <w:rPr>
          <w:b/>
          <w:bCs/>
          <w:color w:val="000000" w:themeColor="text1"/>
          <w:sz w:val="24"/>
          <w:szCs w:val="24"/>
          <w:lang w:val="en"/>
        </w:rPr>
        <w:t xml:space="preserve">Hong Kong </w:t>
      </w:r>
      <w:r>
        <w:rPr>
          <w:color w:val="000000" w:themeColor="text1"/>
          <w:sz w:val="24"/>
          <w:szCs w:val="24"/>
          <w:lang w:val="en"/>
        </w:rPr>
        <w:t xml:space="preserve">(7.4%; US$ 2.1 million), </w:t>
      </w:r>
      <w:r>
        <w:rPr>
          <w:b/>
          <w:bCs/>
          <w:color w:val="000000" w:themeColor="text1"/>
          <w:sz w:val="24"/>
          <w:szCs w:val="24"/>
          <w:lang w:val="en"/>
        </w:rPr>
        <w:t xml:space="preserve">Peru </w:t>
      </w:r>
      <w:r>
        <w:rPr>
          <w:color w:val="000000" w:themeColor="text1"/>
          <w:sz w:val="24"/>
          <w:szCs w:val="24"/>
          <w:lang w:val="en"/>
        </w:rPr>
        <w:t xml:space="preserve">(6.0%; US$ 1.7 million) and </w:t>
      </w:r>
      <w:r>
        <w:rPr>
          <w:b/>
          <w:bCs/>
          <w:color w:val="000000" w:themeColor="text1"/>
          <w:sz w:val="24"/>
          <w:szCs w:val="24"/>
          <w:lang w:val="en"/>
        </w:rPr>
        <w:t xml:space="preserve">Colombia </w:t>
      </w:r>
      <w:r>
        <w:rPr>
          <w:color w:val="000000" w:themeColor="text1"/>
          <w:sz w:val="24"/>
          <w:szCs w:val="24"/>
          <w:lang w:val="en"/>
        </w:rPr>
        <w:t>(2</w:t>
      </w:r>
      <w:proofErr w:type="gramStart"/>
      <w:r>
        <w:rPr>
          <w:color w:val="000000" w:themeColor="text1"/>
          <w:sz w:val="24"/>
          <w:szCs w:val="24"/>
          <w:lang w:val="en"/>
        </w:rPr>
        <w:t>,1</w:t>
      </w:r>
      <w:proofErr w:type="gramEnd"/>
      <w:r>
        <w:rPr>
          <w:color w:val="000000" w:themeColor="text1"/>
          <w:sz w:val="24"/>
          <w:szCs w:val="24"/>
          <w:lang w:val="en"/>
        </w:rPr>
        <w:t xml:space="preserve">%; US$ 609,5 thousand). A highlight is the significant growth of exports to </w:t>
      </w:r>
      <w:r>
        <w:rPr>
          <w:b/>
          <w:bCs/>
          <w:color w:val="000000" w:themeColor="text1"/>
          <w:sz w:val="24"/>
          <w:szCs w:val="24"/>
          <w:lang w:val="en"/>
        </w:rPr>
        <w:t>Colombia</w:t>
      </w:r>
      <w:r>
        <w:rPr>
          <w:color w:val="000000" w:themeColor="text1"/>
          <w:sz w:val="24"/>
          <w:szCs w:val="24"/>
          <w:lang w:val="en"/>
        </w:rPr>
        <w:t>, with an increase of 298.3%; the exported values had an increase of US$ 456.5 thousand between June 2020 and June 2021.</w:t>
      </w:r>
    </w:p>
    <w:p w:rsidR="00F00D95" w:rsidRPr="00262AAA" w:rsidRDefault="00E3189B">
      <w:pPr>
        <w:jc w:val="both"/>
        <w:rPr>
          <w:b/>
          <w:bCs/>
          <w:color w:val="000000" w:themeColor="text1"/>
          <w:sz w:val="24"/>
          <w:szCs w:val="24"/>
          <w:u w:val="single"/>
          <w:lang w:val="en-US"/>
        </w:rPr>
      </w:pPr>
      <w:r>
        <w:rPr>
          <w:b/>
          <w:bCs/>
          <w:color w:val="000000" w:themeColor="text1"/>
          <w:sz w:val="24"/>
          <w:szCs w:val="24"/>
          <w:u w:val="single"/>
          <w:lang w:val="en"/>
        </w:rPr>
        <w:t>Beekeeping products</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Brazil exported US$ 21.4 million in </w:t>
      </w:r>
      <w:r>
        <w:rPr>
          <w:b/>
          <w:bCs/>
          <w:color w:val="000000" w:themeColor="text1"/>
          <w:sz w:val="24"/>
          <w:szCs w:val="24"/>
          <w:lang w:val="en"/>
        </w:rPr>
        <w:t>beekeeping products</w:t>
      </w:r>
      <w:r>
        <w:rPr>
          <w:color w:val="000000" w:themeColor="text1"/>
          <w:sz w:val="24"/>
          <w:szCs w:val="24"/>
          <w:lang w:val="en"/>
        </w:rPr>
        <w:t xml:space="preserve"> in June 2021, a 112.9% growth compared to June 2020. In the aggregate first half of 2021, exports of the sector reached US$ 114.4 million, a 159.7% growth compared to the same period of 2020.</w:t>
      </w:r>
    </w:p>
    <w:p w:rsidR="00F00D95" w:rsidRPr="00262AAA" w:rsidRDefault="00E3189B">
      <w:pPr>
        <w:ind w:firstLine="708"/>
        <w:jc w:val="both"/>
        <w:rPr>
          <w:color w:val="000000" w:themeColor="text1"/>
          <w:sz w:val="24"/>
          <w:szCs w:val="24"/>
          <w:lang w:val="en-US"/>
        </w:rPr>
      </w:pPr>
      <w:r>
        <w:rPr>
          <w:color w:val="000000" w:themeColor="text1"/>
          <w:sz w:val="24"/>
          <w:szCs w:val="24"/>
          <w:lang w:val="en"/>
        </w:rPr>
        <w:t xml:space="preserve">The products comprised by the sector are </w:t>
      </w:r>
      <w:r>
        <w:rPr>
          <w:b/>
          <w:bCs/>
          <w:color w:val="000000" w:themeColor="text1"/>
          <w:sz w:val="24"/>
          <w:szCs w:val="24"/>
          <w:lang w:val="en"/>
        </w:rPr>
        <w:t>natural honey</w:t>
      </w:r>
      <w:r>
        <w:rPr>
          <w:color w:val="000000" w:themeColor="text1"/>
          <w:sz w:val="24"/>
          <w:szCs w:val="24"/>
          <w:lang w:val="en"/>
        </w:rPr>
        <w:t xml:space="preserve"> – which had exports of US$ 20.0 million in June 2021 and was responsible for 93.3% of the total exports of the sector – and </w:t>
      </w:r>
      <w:r>
        <w:rPr>
          <w:b/>
          <w:bCs/>
          <w:color w:val="000000" w:themeColor="text1"/>
          <w:sz w:val="24"/>
          <w:szCs w:val="24"/>
          <w:lang w:val="en"/>
        </w:rPr>
        <w:t>beeswax</w:t>
      </w:r>
      <w:r>
        <w:rPr>
          <w:color w:val="000000" w:themeColor="text1"/>
          <w:sz w:val="24"/>
          <w:szCs w:val="24"/>
          <w:lang w:val="en"/>
        </w:rPr>
        <w:t xml:space="preserve">, which reached US$ 1.4 million during the same period. </w:t>
      </w:r>
    </w:p>
    <w:p w:rsidR="00F00D95" w:rsidRPr="00262AAA" w:rsidRDefault="00E3189B">
      <w:pPr>
        <w:keepNext/>
        <w:jc w:val="center"/>
        <w:rPr>
          <w:i/>
          <w:iCs/>
          <w:color w:val="000000" w:themeColor="text1"/>
          <w:sz w:val="24"/>
          <w:szCs w:val="24"/>
          <w:lang w:val="en-US"/>
        </w:rPr>
      </w:pPr>
      <w:r>
        <w:rPr>
          <w:i/>
          <w:iCs/>
          <w:color w:val="000000" w:themeColor="text1"/>
          <w:sz w:val="24"/>
          <w:szCs w:val="24"/>
          <w:lang w:val="en"/>
        </w:rPr>
        <w:t>Table 6 – Main Products Exported from the “Beekeeping Products” Sector</w:t>
      </w:r>
    </w:p>
    <w:p w:rsidR="00F00D95" w:rsidRDefault="00E3189B">
      <w:pPr>
        <w:spacing w:after="0"/>
        <w:jc w:val="center"/>
      </w:pPr>
      <w:r>
        <w:rPr>
          <w:noProof/>
          <w:lang w:eastAsia="pt-BR"/>
        </w:rPr>
        <w:drawing>
          <wp:inline distT="0" distB="0" distL="0" distR="6985">
            <wp:extent cx="5479415" cy="1303655"/>
            <wp:effectExtent l="0" t="0" r="0" b="0"/>
            <wp:docPr id="1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9"/>
                    <pic:cNvPicPr>
                      <a:picLocks noChangeAspect="1" noChangeArrowheads="1"/>
                    </pic:cNvPicPr>
                  </pic:nvPicPr>
                  <pic:blipFill>
                    <a:blip r:embed="rId22"/>
                    <a:stretch>
                      <a:fillRect/>
                    </a:stretch>
                  </pic:blipFill>
                  <pic:spPr bwMode="auto">
                    <a:xfrm>
                      <a:off x="0" y="0"/>
                      <a:ext cx="5479415" cy="1303655"/>
                    </a:xfrm>
                    <a:prstGeom prst="rect">
                      <a:avLst/>
                    </a:prstGeom>
                  </pic:spPr>
                </pic:pic>
              </a:graphicData>
            </a:graphic>
          </wp:inline>
        </w:drawing>
      </w:r>
    </w:p>
    <w:p w:rsidR="00F00D95" w:rsidRPr="00262AAA" w:rsidRDefault="00E3189B">
      <w:pPr>
        <w:jc w:val="both"/>
        <w:rPr>
          <w:sz w:val="20"/>
          <w:szCs w:val="20"/>
          <w:lang w:val="en-US"/>
        </w:rPr>
      </w:pPr>
      <w:r>
        <w:rPr>
          <w:sz w:val="20"/>
          <w:szCs w:val="20"/>
          <w:lang w:val="en"/>
        </w:rPr>
        <w:t xml:space="preserve">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ind w:firstLine="708"/>
        <w:jc w:val="both"/>
        <w:rPr>
          <w:color w:val="FF0000"/>
          <w:sz w:val="24"/>
          <w:szCs w:val="24"/>
          <w:lang w:val="en-US"/>
        </w:rPr>
      </w:pPr>
      <w:r>
        <w:rPr>
          <w:color w:val="000000" w:themeColor="text1"/>
          <w:sz w:val="24"/>
          <w:szCs w:val="24"/>
          <w:lang w:val="en"/>
        </w:rPr>
        <w:t xml:space="preserve">The </w:t>
      </w:r>
      <w:r>
        <w:rPr>
          <w:b/>
          <w:bCs/>
          <w:color w:val="000000" w:themeColor="text1"/>
          <w:sz w:val="24"/>
          <w:szCs w:val="24"/>
          <w:lang w:val="en"/>
        </w:rPr>
        <w:t>United States</w:t>
      </w:r>
      <w:r>
        <w:rPr>
          <w:color w:val="000000" w:themeColor="text1"/>
          <w:sz w:val="24"/>
          <w:szCs w:val="24"/>
          <w:lang w:val="en"/>
        </w:rPr>
        <w:t xml:space="preserve">, with a 71.0% share and a value of US$ 15.2 million, were the main destination of Brazilian </w:t>
      </w:r>
      <w:r>
        <w:rPr>
          <w:b/>
          <w:bCs/>
          <w:color w:val="000000" w:themeColor="text1"/>
          <w:sz w:val="24"/>
          <w:szCs w:val="24"/>
          <w:lang w:val="en"/>
        </w:rPr>
        <w:t>beekeeping products</w:t>
      </w:r>
      <w:r>
        <w:rPr>
          <w:color w:val="000000" w:themeColor="text1"/>
          <w:sz w:val="24"/>
          <w:szCs w:val="24"/>
          <w:lang w:val="en"/>
        </w:rPr>
        <w:t xml:space="preserve"> in June 2021, followed by the </w:t>
      </w:r>
      <w:r>
        <w:rPr>
          <w:b/>
          <w:bCs/>
          <w:color w:val="000000" w:themeColor="text1"/>
          <w:sz w:val="24"/>
          <w:szCs w:val="24"/>
          <w:lang w:val="en"/>
        </w:rPr>
        <w:t xml:space="preserve">European Union </w:t>
      </w:r>
      <w:r>
        <w:rPr>
          <w:color w:val="000000" w:themeColor="text1"/>
          <w:sz w:val="24"/>
          <w:szCs w:val="24"/>
          <w:lang w:val="en"/>
        </w:rPr>
        <w:t xml:space="preserve">(15.2%; US$ 3.3 million), </w:t>
      </w:r>
      <w:r>
        <w:rPr>
          <w:b/>
          <w:bCs/>
          <w:color w:val="000000" w:themeColor="text1"/>
          <w:sz w:val="24"/>
          <w:szCs w:val="24"/>
          <w:lang w:val="en"/>
        </w:rPr>
        <w:t xml:space="preserve">Japan </w:t>
      </w:r>
      <w:r>
        <w:rPr>
          <w:color w:val="000000" w:themeColor="text1"/>
          <w:sz w:val="24"/>
          <w:szCs w:val="24"/>
          <w:lang w:val="en"/>
        </w:rPr>
        <w:t xml:space="preserve">(3.6%; US$ 763.8 mil), </w:t>
      </w:r>
      <w:r>
        <w:rPr>
          <w:b/>
          <w:bCs/>
          <w:color w:val="000000" w:themeColor="text1"/>
          <w:sz w:val="24"/>
          <w:szCs w:val="24"/>
          <w:lang w:val="en"/>
        </w:rPr>
        <w:t xml:space="preserve">Canada </w:t>
      </w:r>
      <w:r>
        <w:rPr>
          <w:color w:val="000000" w:themeColor="text1"/>
          <w:sz w:val="24"/>
          <w:szCs w:val="24"/>
          <w:lang w:val="en"/>
        </w:rPr>
        <w:t xml:space="preserve">(3,5%; US$ 751,7 thousand) and </w:t>
      </w:r>
      <w:r>
        <w:rPr>
          <w:b/>
          <w:bCs/>
          <w:color w:val="000000" w:themeColor="text1"/>
          <w:sz w:val="24"/>
          <w:szCs w:val="24"/>
          <w:lang w:val="en"/>
        </w:rPr>
        <w:t xml:space="preserve">Australia </w:t>
      </w:r>
      <w:r>
        <w:rPr>
          <w:color w:val="000000" w:themeColor="text1"/>
          <w:sz w:val="24"/>
          <w:szCs w:val="24"/>
          <w:lang w:val="en"/>
        </w:rPr>
        <w:t>(3,5%; US$ 745,1 thousand). Together, these destinations accounted for 96.8% of the industry's foreign sales during the month.</w:t>
      </w:r>
    </w:p>
    <w:p w:rsidR="00F00D95" w:rsidRDefault="00E3189B">
      <w:r>
        <w:rPr>
          <w:noProof/>
          <w:lang w:eastAsia="pt-BR"/>
        </w:rPr>
        <w:lastRenderedPageBreak/>
        <mc:AlternateContent>
          <mc:Choice Requires="wps">
            <w:drawing>
              <wp:anchor distT="45720" distB="45720" distL="114300" distR="114300" simplePos="0" relativeHeight="5" behindDoc="0" locked="0" layoutInCell="1" allowOverlap="1">
                <wp:simplePos x="0" y="0"/>
                <wp:positionH relativeFrom="margin">
                  <wp:posOffset>-167005</wp:posOffset>
                </wp:positionH>
                <wp:positionV relativeFrom="paragraph">
                  <wp:posOffset>1270</wp:posOffset>
                </wp:positionV>
                <wp:extent cx="6287135" cy="9088120"/>
                <wp:effectExtent l="0" t="0" r="19050" b="18415"/>
                <wp:wrapSquare wrapText="bothSides"/>
                <wp:docPr id="18" name="Caixa de Texto 2"/>
                <wp:cNvGraphicFramePr/>
                <a:graphic xmlns:a="http://schemas.openxmlformats.org/drawingml/2006/main">
                  <a:graphicData uri="http://schemas.microsoft.com/office/word/2010/wordprocessingShape">
                    <wps:wsp>
                      <wps:cNvSpPr/>
                      <wps:spPr>
                        <a:xfrm>
                          <a:off x="0" y="0"/>
                          <a:ext cx="6286680" cy="908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F00D95" w:rsidRPr="00262AAA" w:rsidRDefault="00E3189B">
                            <w:pPr>
                              <w:pStyle w:val="FrameContents"/>
                              <w:rPr>
                                <w:b/>
                                <w:bCs/>
                                <w:color w:val="000000" w:themeColor="text1"/>
                                <w:sz w:val="28"/>
                                <w:szCs w:val="28"/>
                                <w:lang w:val="en-US"/>
                              </w:rPr>
                            </w:pPr>
                            <w:r>
                              <w:rPr>
                                <w:b/>
                                <w:bCs/>
                                <w:color w:val="000000" w:themeColor="text1"/>
                                <w:sz w:val="28"/>
                                <w:szCs w:val="28"/>
                                <w:lang w:val="en"/>
                              </w:rPr>
                              <w:t>HIGHLIGHT</w:t>
                            </w:r>
                          </w:p>
                          <w:p w:rsidR="00F00D95" w:rsidRPr="00262AAA" w:rsidRDefault="00E3189B">
                            <w:pPr>
                              <w:pStyle w:val="FrameContents"/>
                              <w:jc w:val="both"/>
                              <w:rPr>
                                <w:color w:val="FF0000"/>
                                <w:sz w:val="24"/>
                                <w:szCs w:val="24"/>
                                <w:lang w:val="en-US"/>
                              </w:rPr>
                            </w:pPr>
                            <w:r>
                              <w:rPr>
                                <w:color w:val="000000" w:themeColor="text1"/>
                                <w:sz w:val="24"/>
                                <w:szCs w:val="24"/>
                                <w:lang w:val="en"/>
                              </w:rPr>
                              <w:t xml:space="preserve">Brazil is the world's largest coffee producer followed by Vietnam and Colombia. In June 2021, Brazil registered exports of </w:t>
                            </w:r>
                            <w:r>
                              <w:rPr>
                                <w:b/>
                                <w:bCs/>
                                <w:color w:val="000000" w:themeColor="text1"/>
                                <w:sz w:val="24"/>
                                <w:szCs w:val="24"/>
                                <w:lang w:val="en"/>
                              </w:rPr>
                              <w:t xml:space="preserve">green coffee and roasted coffee </w:t>
                            </w:r>
                            <w:r>
                              <w:rPr>
                                <w:color w:val="000000" w:themeColor="text1"/>
                                <w:sz w:val="24"/>
                                <w:szCs w:val="24"/>
                                <w:lang w:val="en"/>
                              </w:rPr>
                              <w:t>worth US$ 410.7 million, the best performance for a month of June since 2014. This result also contributed to positioning 2021 as the year with the best performance, since 2015, with exports worth US$ 2.7 billion, and 20.5% growth compared to the first half of 2020. As for the statistical quantity, exports of the product reached the highest tonnage for a month of June since 1997, namely 174</w:t>
                            </w:r>
                            <w:proofErr w:type="gramStart"/>
                            <w:r>
                              <w:rPr>
                                <w:color w:val="000000" w:themeColor="text1"/>
                                <w:sz w:val="24"/>
                                <w:szCs w:val="24"/>
                                <w:lang w:val="en"/>
                              </w:rPr>
                              <w:t>,9</w:t>
                            </w:r>
                            <w:proofErr w:type="gramEnd"/>
                            <w:r>
                              <w:rPr>
                                <w:color w:val="000000" w:themeColor="text1"/>
                                <w:sz w:val="24"/>
                                <w:szCs w:val="24"/>
                                <w:lang w:val="en"/>
                              </w:rPr>
                              <w:t xml:space="preserve"> thousand tons. In the aggregate first half of 2021, exports from the sector totaled 1.2 million tons. </w:t>
                            </w:r>
                          </w:p>
                          <w:p w:rsidR="00F00D95" w:rsidRPr="00262AAA" w:rsidRDefault="00E3189B">
                            <w:pPr>
                              <w:pStyle w:val="FrameContents"/>
                              <w:keepNext/>
                              <w:spacing w:after="0"/>
                              <w:jc w:val="center"/>
                              <w:rPr>
                                <w:i/>
                                <w:iCs/>
                                <w:color w:val="000000" w:themeColor="text1"/>
                                <w:sz w:val="24"/>
                                <w:szCs w:val="24"/>
                                <w:lang w:val="en-US"/>
                              </w:rPr>
                            </w:pPr>
                            <w:r>
                              <w:rPr>
                                <w:i/>
                                <w:iCs/>
                                <w:color w:val="000000" w:themeColor="text1"/>
                                <w:sz w:val="24"/>
                                <w:szCs w:val="24"/>
                                <w:lang w:val="en"/>
                              </w:rPr>
                              <w:t>Chart 7 – Green Coffee and Roasted Coffee Exports – Aggregate in the year until June – in US$/Billion</w:t>
                            </w:r>
                          </w:p>
                          <w:p w:rsidR="00F00D95" w:rsidRDefault="00E3189B">
                            <w:pPr>
                              <w:pStyle w:val="FrameContents"/>
                              <w:spacing w:after="0"/>
                              <w:ind w:left="-142"/>
                              <w:jc w:val="center"/>
                            </w:pPr>
                            <w:r>
                              <w:rPr>
                                <w:noProof/>
                                <w:lang w:eastAsia="pt-BR"/>
                              </w:rPr>
                              <w:drawing>
                                <wp:inline distT="0" distB="0" distL="0" distR="2540">
                                  <wp:extent cx="4283710" cy="2174875"/>
                                  <wp:effectExtent l="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
                                          <pic:cNvPicPr>
                                            <a:picLocks noChangeAspect="1" noChangeArrowheads="1"/>
                                          </pic:cNvPicPr>
                                        </pic:nvPicPr>
                                        <pic:blipFill>
                                          <a:blip r:embed="rId23"/>
                                          <a:stretch>
                                            <a:fillRect/>
                                          </a:stretch>
                                        </pic:blipFill>
                                        <pic:spPr bwMode="auto">
                                          <a:xfrm>
                                            <a:off x="0" y="0"/>
                                            <a:ext cx="4283710" cy="2174875"/>
                                          </a:xfrm>
                                          <a:prstGeom prst="rect">
                                            <a:avLst/>
                                          </a:prstGeom>
                                        </pic:spPr>
                                      </pic:pic>
                                    </a:graphicData>
                                  </a:graphic>
                                </wp:inline>
                              </w:drawing>
                            </w:r>
                          </w:p>
                          <w:p w:rsidR="00F00D95" w:rsidRPr="00262AAA" w:rsidRDefault="00E3189B">
                            <w:pPr>
                              <w:pStyle w:val="FrameContents"/>
                              <w:jc w:val="both"/>
                              <w:rPr>
                                <w:sz w:val="20"/>
                                <w:szCs w:val="20"/>
                                <w:lang w:val="en-US"/>
                              </w:rPr>
                            </w:pPr>
                            <w:r>
                              <w:rPr>
                                <w:sz w:val="20"/>
                                <w:szCs w:val="20"/>
                                <w:lang w:val="en"/>
                              </w:rPr>
                              <w:t xml:space="preserve"> Source: </w:t>
                            </w:r>
                            <w:proofErr w:type="spellStart"/>
                            <w:r>
                              <w:rPr>
                                <w:sz w:val="20"/>
                                <w:szCs w:val="20"/>
                                <w:lang w:val="en"/>
                              </w:rPr>
                              <w:t>Comex</w:t>
                            </w:r>
                            <w:proofErr w:type="spellEnd"/>
                            <w:r>
                              <w:rPr>
                                <w:sz w:val="20"/>
                                <w:szCs w:val="20"/>
                                <w:lang w:val="en"/>
                              </w:rPr>
                              <w:t xml:space="preserve"> Stat/Ministry of the Economy</w:t>
                            </w:r>
                          </w:p>
                          <w:p w:rsidR="00F00D95" w:rsidRPr="00262AAA" w:rsidRDefault="00E3189B">
                            <w:pPr>
                              <w:pStyle w:val="FrameContents"/>
                              <w:spacing w:after="0"/>
                              <w:jc w:val="both"/>
                              <w:rPr>
                                <w:color w:val="FF0000"/>
                                <w:sz w:val="24"/>
                                <w:szCs w:val="24"/>
                                <w:lang w:val="en-US"/>
                              </w:rPr>
                            </w:pPr>
                            <w:r>
                              <w:rPr>
                                <w:color w:val="000000" w:themeColor="text1"/>
                                <w:sz w:val="24"/>
                                <w:szCs w:val="24"/>
                                <w:lang w:val="en"/>
                              </w:rPr>
                              <w:t xml:space="preserve">However, the international market of the sector is on alert due to below-average rainfall in Brazil, which already signals negative impacts on the 2021/2022 coffee crop. In addition, political protests in Colombia disrupted exports in early 2021. These aspects have driven the increase in international prices of the </w:t>
                            </w:r>
                            <w:r>
                              <w:rPr>
                                <w:i/>
                                <w:iCs/>
                                <w:color w:val="000000" w:themeColor="text1"/>
                                <w:sz w:val="24"/>
                                <w:szCs w:val="24"/>
                                <w:lang w:val="en"/>
                              </w:rPr>
                              <w:t>commodity</w:t>
                            </w:r>
                            <w:r>
                              <w:rPr>
                                <w:color w:val="000000" w:themeColor="text1"/>
                                <w:sz w:val="24"/>
                                <w:szCs w:val="24"/>
                                <w:lang w:val="en"/>
                              </w:rPr>
                              <w:t xml:space="preserve"> and they should soon materialize in coffee prices being charged from end consumers. The price indicator, calculated by the ICO, points out that June 2021 is the eighth consecutive month of increase in coffee prices. For the month, the ICO composite indicator is US$ 141.0 per pound-weight, the highest value since November 2016.</w:t>
                            </w:r>
                          </w:p>
                          <w:p w:rsidR="00F00D95" w:rsidRPr="00262AAA" w:rsidRDefault="00E3189B">
                            <w:pPr>
                              <w:pStyle w:val="FrameContents"/>
                              <w:keepNext/>
                              <w:spacing w:after="0"/>
                              <w:jc w:val="center"/>
                              <w:rPr>
                                <w:i/>
                                <w:iCs/>
                                <w:color w:val="FF0000"/>
                                <w:sz w:val="24"/>
                                <w:szCs w:val="24"/>
                                <w:lang w:val="en-US"/>
                              </w:rPr>
                            </w:pPr>
                            <w:r>
                              <w:rPr>
                                <w:i/>
                                <w:iCs/>
                                <w:color w:val="000000" w:themeColor="text1"/>
                                <w:sz w:val="24"/>
                                <w:szCs w:val="24"/>
                                <w:lang w:val="en"/>
                              </w:rPr>
                              <w:t>Chart 8 – Evolution of the ICO Coffee Price Composite Indicator – US$ per pound-weight</w:t>
                            </w:r>
                          </w:p>
                          <w:p w:rsidR="00F00D95" w:rsidRDefault="00E3189B">
                            <w:pPr>
                              <w:pStyle w:val="FrameContents"/>
                              <w:spacing w:after="0" w:line="240" w:lineRule="auto"/>
                              <w:jc w:val="center"/>
                              <w:rPr>
                                <w:sz w:val="20"/>
                                <w:szCs w:val="20"/>
                              </w:rPr>
                            </w:pPr>
                            <w:r>
                              <w:rPr>
                                <w:noProof/>
                                <w:lang w:eastAsia="pt-BR"/>
                              </w:rPr>
                              <w:drawing>
                                <wp:inline distT="0" distB="0" distL="0" distR="0">
                                  <wp:extent cx="3780155" cy="2118360"/>
                                  <wp:effectExtent l="0" t="0" r="0" b="0"/>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
                                          <pic:cNvPicPr>
                                            <a:picLocks noChangeAspect="1" noChangeArrowheads="1"/>
                                          </pic:cNvPicPr>
                                        </pic:nvPicPr>
                                        <pic:blipFill>
                                          <a:blip r:embed="rId24"/>
                                          <a:stretch>
                                            <a:fillRect/>
                                          </a:stretch>
                                        </pic:blipFill>
                                        <pic:spPr bwMode="auto">
                                          <a:xfrm>
                                            <a:off x="0" y="0"/>
                                            <a:ext cx="3780155" cy="2118360"/>
                                          </a:xfrm>
                                          <a:prstGeom prst="rect">
                                            <a:avLst/>
                                          </a:prstGeom>
                                        </pic:spPr>
                                      </pic:pic>
                                    </a:graphicData>
                                  </a:graphic>
                                </wp:inline>
                              </w:drawing>
                            </w:r>
                          </w:p>
                          <w:p w:rsidR="00F00D95" w:rsidRDefault="00E3189B">
                            <w:pPr>
                              <w:pStyle w:val="FrameContents"/>
                              <w:spacing w:after="0" w:line="600" w:lineRule="auto"/>
                              <w:jc w:val="both"/>
                            </w:pPr>
                            <w:r>
                              <w:rPr>
                                <w:sz w:val="20"/>
                                <w:szCs w:val="20"/>
                                <w:lang w:val="en"/>
                              </w:rPr>
                              <w:t>Source: International Coffee Organization.</w:t>
                            </w:r>
                          </w:p>
                        </w:txbxContent>
                      </wps:txbx>
                      <wps:bodyPr>
                        <a:noAutofit/>
                      </wps:bodyPr>
                    </wps:wsp>
                  </a:graphicData>
                </a:graphic>
              </wp:anchor>
            </w:drawing>
          </mc:Choice>
          <mc:Fallback>
            <w:pict>
              <v:rect id="shape_0" ID="Caixa de Texto 2" fillcolor="white" stroked="t" style="position:absolute;margin-left:-13.15pt;margin-top:0.1pt;width:494.95pt;height:715.5pt;mso-position-horizontal-relative:margin">
                <w10:wrap type="square"/>
                <v:fill o:detectmouseclick="t" type="solid" color2="black"/>
                <v:stroke color="black" weight="9360" joinstyle="miter" endcap="flat"/>
                <v:textbox>
                  <w:txbxContent>
                    <w:p>
                      <w:pPr>
                        <w:pStyle w:val="FrameContents"/>
                        <w:bidi w:val="0"/>
                        <w:jc w:val="left"/>
                        <w:rPr>
                          <w:b/>
                          <w:b/>
                          <w:bCs/>
                          <w:color w:val="000000" w:themeColor="text1"/>
                          <w:sz w:val="28"/>
                          <w:szCs w:val="28"/>
                        </w:rPr>
                      </w:pPr>
                      <w:r>
                        <w:rPr>
                          <w:b/>
                          <w:bCs/>
                          <w:color w:val="000000" w:themeColor="text1"/>
                          <w:sz w:val="28"/>
                          <w:szCs w:val="28"/>
                          <w:lang w:val="en"/>
                        </w:rPr>
                        <w:t>HIGHLIGHT</w:t>
                      </w:r>
                    </w:p>
                    <w:p>
                      <w:pPr>
                        <w:pStyle w:val="FrameContents"/>
                        <w:bidi w:val="0"/>
                        <w:jc w:val="both"/>
                        <w:rPr>
                          <w:color w:val="FF0000"/>
                          <w:sz w:val="24"/>
                          <w:szCs w:val="24"/>
                        </w:rPr>
                      </w:pPr>
                      <w:r>
                        <w:rPr>
                          <w:color w:val="000000" w:themeColor="text1"/>
                          <w:sz w:val="24"/>
                          <w:szCs w:val="24"/>
                          <w:lang w:val="en"/>
                        </w:rPr>
                        <w:t xml:space="preserve">Brazil is the world's largest coffee producer followed by Vietnam and Colombia. In June 2021, Brazil registered exports of </w:t>
                      </w:r>
                      <w:r>
                        <w:rPr>
                          <w:b/>
                          <w:bCs/>
                          <w:color w:val="000000" w:themeColor="text1"/>
                          <w:sz w:val="24"/>
                          <w:szCs w:val="24"/>
                          <w:lang w:val="en"/>
                        </w:rPr>
                        <w:t xml:space="preserve">green coffee and roasted coffee </w:t>
                      </w:r>
                      <w:r>
                        <w:rPr>
                          <w:color w:val="000000" w:themeColor="text1"/>
                          <w:sz w:val="24"/>
                          <w:szCs w:val="24"/>
                          <w:lang w:val="en"/>
                        </w:rPr>
                        <w:t xml:space="preserve">worth US$ 410.7 million, the best performance for a month of June since 2014. This result also contributed to positioning 2021 as the year with the best performance, since 2015, with exports worth US$ 2.7 billion, and 20.5% growth compared to the first half of 2020. As for the statistical quantity, exports of the product reached the highest tonnage for a month of June since 1997, namely 174,9 thousand tons. In the aggregate first half of 2021, exports from the sector totaled 1.2 million tons. </w:t>
                      </w:r>
                    </w:p>
                    <w:p>
                      <w:pPr>
                        <w:pStyle w:val="FrameContents"/>
                        <w:keepNext w:val="true"/>
                        <w:bidi w:val="0"/>
                        <w:spacing w:before="0" w:after="0"/>
                        <w:jc w:val="center"/>
                        <w:rPr>
                          <w:i/>
                          <w:i/>
                          <w:iCs/>
                          <w:color w:val="000000" w:themeColor="text1"/>
                          <w:sz w:val="24"/>
                          <w:szCs w:val="24"/>
                        </w:rPr>
                      </w:pPr>
                      <w:r>
                        <w:rPr>
                          <w:i/>
                          <w:iCs/>
                          <w:color w:val="000000" w:themeColor="text1"/>
                          <w:sz w:val="24"/>
                          <w:szCs w:val="24"/>
                          <w:lang w:val="en"/>
                        </w:rPr>
                        <w:t>Chart 7 – Green Coffee and Roasted Coffee Exports – Aggregate in the year until June – in US$/Billion</w:t>
                      </w:r>
                    </w:p>
                    <w:p>
                      <w:pPr>
                        <w:pStyle w:val="FrameContents"/>
                        <w:spacing w:before="0" w:after="0"/>
                        <w:ind w:left="-142" w:hanging="0"/>
                        <w:jc w:val="center"/>
                        <w:rPr/>
                      </w:pPr>
                      <w:r>
                        <w:rPr/>
                        <w:drawing>
                          <wp:inline distT="0" distB="0" distL="0" distR="2540">
                            <wp:extent cx="4283710" cy="2174875"/>
                            <wp:effectExtent l="0" t="0" r="0" b="0"/>
                            <wp:docPr id="2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 descr=""/>
                                    <pic:cNvPicPr>
                                      <a:picLocks noChangeAspect="1" noChangeArrowheads="1"/>
                                    </pic:cNvPicPr>
                                  </pic:nvPicPr>
                                  <pic:blipFill>
                                    <a:blip r:embed="rId25"/>
                                    <a:stretch>
                                      <a:fillRect/>
                                    </a:stretch>
                                  </pic:blipFill>
                                  <pic:spPr bwMode="auto">
                                    <a:xfrm>
                                      <a:off x="0" y="0"/>
                                      <a:ext cx="4283710" cy="2174875"/>
                                    </a:xfrm>
                                    <a:prstGeom prst="rect">
                                      <a:avLst/>
                                    </a:prstGeom>
                                  </pic:spPr>
                                </pic:pic>
                              </a:graphicData>
                            </a:graphic>
                          </wp:inline>
                        </w:drawing>
                      </w:r>
                    </w:p>
                    <w:p>
                      <w:pPr>
                        <w:pStyle w:val="FrameContents"/>
                        <w:bidi w:val="0"/>
                        <w:jc w:val="both"/>
                        <w:rPr>
                          <w:sz w:val="20"/>
                          <w:szCs w:val="20"/>
                        </w:rPr>
                      </w:pPr>
                      <w:r>
                        <w:rPr>
                          <w:sz w:val="20"/>
                          <w:szCs w:val="20"/>
                          <w:lang w:val="en"/>
                        </w:rPr>
                        <w:t xml:space="preserve"> </w:t>
                      </w:r>
                      <w:r>
                        <w:rPr>
                          <w:sz w:val="20"/>
                          <w:szCs w:val="20"/>
                          <w:lang w:val="en"/>
                        </w:rPr>
                        <w:t>Source: Comex Stat/Ministry of the Economy</w:t>
                      </w:r>
                    </w:p>
                    <w:p>
                      <w:pPr>
                        <w:pStyle w:val="FrameContents"/>
                        <w:bidi w:val="0"/>
                        <w:spacing w:before="0" w:after="0"/>
                        <w:jc w:val="both"/>
                        <w:rPr>
                          <w:color w:val="FF0000"/>
                          <w:sz w:val="24"/>
                          <w:szCs w:val="24"/>
                        </w:rPr>
                      </w:pPr>
                      <w:r>
                        <w:rPr>
                          <w:color w:val="000000" w:themeColor="text1"/>
                          <w:sz w:val="24"/>
                          <w:szCs w:val="24"/>
                          <w:lang w:val="en"/>
                        </w:rPr>
                        <w:t xml:space="preserve">However, the international market of the sector is on alert due to below-average rainfall in Brazil, which already signals negative impacts on the 2021/2022 coffee crop. In addition, political protests in Colombia disrupted exports in early 2021. These aspects have driven the increase in international prices of the </w:t>
                      </w:r>
                      <w:r>
                        <w:rPr>
                          <w:i/>
                          <w:iCs/>
                          <w:color w:val="000000" w:themeColor="text1"/>
                          <w:sz w:val="24"/>
                          <w:szCs w:val="24"/>
                          <w:lang w:val="en"/>
                        </w:rPr>
                        <w:t>commodity</w:t>
                      </w:r>
                      <w:r>
                        <w:rPr>
                          <w:color w:val="000000" w:themeColor="text1"/>
                          <w:sz w:val="24"/>
                          <w:szCs w:val="24"/>
                          <w:lang w:val="en"/>
                        </w:rPr>
                        <w:t xml:space="preserve"> and they should soon materialize in coffee prices being charged from end consumers. The price indicator, calculated by the ICO, points out that June 2021 is the eighth consecutive month of increase in coffee prices. For the month, the ICO composite indicator is US$ 141.0 per pound-weight, the highest value since November 2016.</w:t>
                      </w:r>
                    </w:p>
                    <w:p>
                      <w:pPr>
                        <w:pStyle w:val="FrameContents"/>
                        <w:keepNext w:val="true"/>
                        <w:bidi w:val="0"/>
                        <w:spacing w:before="0" w:after="0"/>
                        <w:jc w:val="center"/>
                        <w:rPr>
                          <w:i/>
                          <w:i/>
                          <w:iCs/>
                          <w:color w:val="FF0000"/>
                          <w:sz w:val="24"/>
                          <w:szCs w:val="24"/>
                        </w:rPr>
                      </w:pPr>
                      <w:r>
                        <w:rPr>
                          <w:i/>
                          <w:iCs/>
                          <w:color w:val="000000" w:themeColor="text1"/>
                          <w:sz w:val="24"/>
                          <w:szCs w:val="24"/>
                          <w:lang w:val="en"/>
                        </w:rPr>
                        <w:t>Chart 8 – Evolution of the ICO Coffee Price Composite Indicator – US$ per pound-weight</w:t>
                      </w:r>
                    </w:p>
                    <w:p>
                      <w:pPr>
                        <w:pStyle w:val="FrameContents"/>
                        <w:spacing w:lineRule="auto" w:line="240" w:before="0" w:after="0"/>
                        <w:jc w:val="center"/>
                        <w:rPr>
                          <w:sz w:val="20"/>
                          <w:szCs w:val="20"/>
                        </w:rPr>
                      </w:pPr>
                      <w:r>
                        <w:rPr/>
                        <w:drawing>
                          <wp:inline distT="0" distB="0" distL="0" distR="0">
                            <wp:extent cx="3780155" cy="2118360"/>
                            <wp:effectExtent l="0" t="0" r="0" b="0"/>
                            <wp:docPr id="2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 descr=""/>
                                    <pic:cNvPicPr>
                                      <a:picLocks noChangeAspect="1" noChangeArrowheads="1"/>
                                    </pic:cNvPicPr>
                                  </pic:nvPicPr>
                                  <pic:blipFill>
                                    <a:blip r:embed="rId26"/>
                                    <a:stretch>
                                      <a:fillRect/>
                                    </a:stretch>
                                  </pic:blipFill>
                                  <pic:spPr bwMode="auto">
                                    <a:xfrm>
                                      <a:off x="0" y="0"/>
                                      <a:ext cx="3780155" cy="2118360"/>
                                    </a:xfrm>
                                    <a:prstGeom prst="rect">
                                      <a:avLst/>
                                    </a:prstGeom>
                                  </pic:spPr>
                                </pic:pic>
                              </a:graphicData>
                            </a:graphic>
                          </wp:inline>
                        </w:drawing>
                      </w:r>
                    </w:p>
                    <w:p>
                      <w:pPr>
                        <w:pStyle w:val="FrameContents"/>
                        <w:bidi w:val="0"/>
                        <w:spacing w:lineRule="auto" w:line="600" w:before="0" w:after="0"/>
                        <w:jc w:val="both"/>
                        <w:rPr/>
                      </w:pPr>
                      <w:r>
                        <w:rPr>
                          <w:sz w:val="20"/>
                          <w:szCs w:val="20"/>
                          <w:lang w:val="en"/>
                        </w:rPr>
                        <w:t>Source: International Coffee Organization.</w:t>
                      </w:r>
                    </w:p>
                  </w:txbxContent>
                </v:textbox>
              </v:rect>
            </w:pict>
          </mc:Fallback>
        </mc:AlternateContent>
      </w:r>
    </w:p>
    <w:sectPr w:rsidR="00F00D95">
      <w:pgSz w:w="11906" w:h="16838"/>
      <w:pgMar w:top="1276" w:right="1274" w:bottom="1417" w:left="1276"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89B" w:rsidRDefault="00E3189B">
      <w:pPr>
        <w:spacing w:after="0" w:line="240" w:lineRule="auto"/>
      </w:pPr>
      <w:r>
        <w:separator/>
      </w:r>
    </w:p>
  </w:endnote>
  <w:endnote w:type="continuationSeparator" w:id="0">
    <w:p w:rsidR="00E3189B" w:rsidRDefault="00E31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89B" w:rsidRDefault="00E3189B">
      <w:r>
        <w:separator/>
      </w:r>
    </w:p>
  </w:footnote>
  <w:footnote w:type="continuationSeparator" w:id="0">
    <w:p w:rsidR="00E3189B" w:rsidRDefault="00E3189B">
      <w:r>
        <w:continuationSeparator/>
      </w:r>
    </w:p>
  </w:footnote>
  <w:footnote w:id="1">
    <w:p w:rsidR="00F00D95" w:rsidRPr="00262AAA" w:rsidRDefault="00E3189B">
      <w:pPr>
        <w:pStyle w:val="Textodenotaderodap"/>
        <w:rPr>
          <w:lang w:val="en-US"/>
        </w:rPr>
      </w:pPr>
      <w:r>
        <w:rPr>
          <w:rStyle w:val="FootnoteCharacters"/>
        </w:rPr>
        <w:footnoteRef/>
      </w:r>
      <w:r>
        <w:rPr>
          <w:lang w:val="en"/>
        </w:rPr>
        <w:t xml:space="preserve"> All information was extracted from the database on 07/05/2021. </w:t>
      </w:r>
    </w:p>
  </w:footnote>
  <w:footnote w:id="2">
    <w:p w:rsidR="00F00D95" w:rsidRPr="00262AAA" w:rsidRDefault="00E3189B">
      <w:pPr>
        <w:pStyle w:val="Textodenotaderodap"/>
        <w:rPr>
          <w:lang w:val="en-US"/>
        </w:rPr>
      </w:pPr>
      <w:r>
        <w:rPr>
          <w:rStyle w:val="FootnoteCharacters"/>
        </w:rPr>
        <w:footnoteRef/>
      </w:r>
      <w:r>
        <w:rPr>
          <w:lang w:val="en"/>
        </w:rPr>
        <w:t xml:space="preserve"> Fresh, dried, pickled fruit and nuts and chestnuts</w:t>
      </w:r>
    </w:p>
  </w:footnote>
  <w:footnote w:id="3">
    <w:p w:rsidR="00F00D95" w:rsidRDefault="00E3189B">
      <w:pPr>
        <w:pStyle w:val="Textodenotaderodap"/>
      </w:pPr>
      <w:r>
        <w:rPr>
          <w:rStyle w:val="FootnoteCharacters"/>
        </w:rPr>
        <w:footnoteRef/>
      </w:r>
      <w:r>
        <w:rPr>
          <w:lang w:val="en"/>
        </w:rPr>
        <w:t xml:space="preserve"> NCMs: 0304.20.30, 0304.29.30, 0304.61.00, 0304.31.00, 0303.23.00, 0303.79.52, 0303.89.52, 0302.69.42, 0302.71.00, 0302.89.32, 0301.99.11, 03019991</w:t>
      </w:r>
    </w:p>
  </w:footnote>
  <w:footnote w:id="4">
    <w:p w:rsidR="00F00D95" w:rsidRDefault="00E3189B">
      <w:pPr>
        <w:pStyle w:val="Textodenotaderodap"/>
      </w:pPr>
      <w:r>
        <w:rPr>
          <w:rStyle w:val="FootnoteCharacters"/>
        </w:rPr>
        <w:footnoteRef/>
      </w:r>
      <w:r>
        <w:rPr>
          <w:lang w:val="en"/>
        </w:rPr>
        <w:t xml:space="preserve"> NCMs: 0306.13.00, 0306.13.10, 0306.13.91, 0306.13.99, 0306.16.10, 0306.16.90, 0306.17.10, 0306.17.90, 0306.23.00, 0306.26.00, 0306.27.00, 0306.35.00, 0306.36.00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D95"/>
    <w:rsid w:val="00262AAA"/>
    <w:rsid w:val="00CA23F1"/>
    <w:rsid w:val="00E3189B"/>
    <w:rsid w:val="00F00D95"/>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A95E2D"/>
    <w:rPr>
      <w:sz w:val="16"/>
      <w:szCs w:val="16"/>
    </w:rPr>
  </w:style>
  <w:style w:type="character" w:customStyle="1" w:styleId="TextodecomentrioChar">
    <w:name w:val="Texto de comentário Char"/>
    <w:basedOn w:val="Fontepargpadro"/>
    <w:link w:val="Textodecomentrio"/>
    <w:uiPriority w:val="99"/>
    <w:semiHidden/>
    <w:qFormat/>
    <w:rsid w:val="00A95E2D"/>
    <w:rPr>
      <w:sz w:val="20"/>
      <w:szCs w:val="20"/>
    </w:rPr>
  </w:style>
  <w:style w:type="character" w:customStyle="1" w:styleId="AssuntodocomentrioChar">
    <w:name w:val="Assunto do comentário Char"/>
    <w:basedOn w:val="TextodecomentrioChar"/>
    <w:link w:val="Assuntodocomentrio"/>
    <w:uiPriority w:val="99"/>
    <w:semiHidden/>
    <w:qFormat/>
    <w:rsid w:val="00A95E2D"/>
    <w:rPr>
      <w:b/>
      <w:bCs/>
      <w:sz w:val="20"/>
      <w:szCs w:val="20"/>
    </w:rPr>
  </w:style>
  <w:style w:type="character" w:customStyle="1" w:styleId="TextodebaloChar">
    <w:name w:val="Texto de balão Char"/>
    <w:basedOn w:val="Fontepargpadro"/>
    <w:link w:val="Textodebalo"/>
    <w:uiPriority w:val="99"/>
    <w:semiHidden/>
    <w:qFormat/>
    <w:rsid w:val="00A95E2D"/>
    <w:rPr>
      <w:rFonts w:ascii="Segoe UI" w:hAnsi="Segoe UI" w:cs="Segoe UI"/>
      <w:sz w:val="18"/>
      <w:szCs w:val="18"/>
    </w:rPr>
  </w:style>
  <w:style w:type="character" w:customStyle="1" w:styleId="TextodenotaderodapChar">
    <w:name w:val="Texto de nota de rodapé Char"/>
    <w:basedOn w:val="Fontepargpadro"/>
    <w:link w:val="Textodenotaderodap"/>
    <w:uiPriority w:val="99"/>
    <w:semiHidden/>
    <w:qFormat/>
    <w:rsid w:val="00ED359F"/>
    <w:rPr>
      <w:sz w:val="20"/>
      <w:szCs w:val="20"/>
    </w:rPr>
  </w:style>
  <w:style w:type="character" w:customStyle="1" w:styleId="FootnoteCharacters">
    <w:name w:val="Footnote Characters"/>
    <w:basedOn w:val="Fontepargpadro"/>
    <w:uiPriority w:val="99"/>
    <w:semiHidden/>
    <w:unhideWhenUsed/>
    <w:qFormat/>
    <w:rsid w:val="00ED359F"/>
    <w:rPr>
      <w:vertAlign w:val="superscript"/>
    </w:rPr>
  </w:style>
  <w:style w:type="character" w:customStyle="1" w:styleId="FootnoteAnchor">
    <w:name w:val="Footnote Anchor"/>
    <w:rPr>
      <w:vertAlign w:val="superscript"/>
    </w:rPr>
  </w:style>
  <w:style w:type="character" w:customStyle="1" w:styleId="CabealhoChar">
    <w:name w:val="Cabeçalho Char"/>
    <w:basedOn w:val="Fontepargpadro"/>
    <w:link w:val="Cabealho"/>
    <w:uiPriority w:val="99"/>
    <w:qFormat/>
    <w:rsid w:val="000D290F"/>
  </w:style>
  <w:style w:type="character" w:customStyle="1" w:styleId="RodapChar">
    <w:name w:val="Rodapé Char"/>
    <w:basedOn w:val="Fontepargpadro"/>
    <w:link w:val="Rodap"/>
    <w:uiPriority w:val="99"/>
    <w:qFormat/>
    <w:rsid w:val="000D290F"/>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odetexto"/>
    <w:qFormat/>
    <w:pPr>
      <w:keepNext/>
      <w:spacing w:before="240" w:after="120"/>
    </w:pPr>
    <w:rPr>
      <w:rFonts w:ascii="Liberation Sans" w:eastAsia="Noto Sans CJK SC Regular"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extodecomentrio">
    <w:name w:val="annotation text"/>
    <w:basedOn w:val="Normal"/>
    <w:link w:val="TextodecomentrioChar"/>
    <w:uiPriority w:val="99"/>
    <w:semiHidden/>
    <w:unhideWhenUsed/>
    <w:qFormat/>
    <w:rsid w:val="00A95E2D"/>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A95E2D"/>
    <w:rPr>
      <w:b/>
      <w:bCs/>
    </w:rPr>
  </w:style>
  <w:style w:type="paragraph" w:styleId="Textodebalo">
    <w:name w:val="Balloon Text"/>
    <w:basedOn w:val="Normal"/>
    <w:link w:val="TextodebaloChar"/>
    <w:uiPriority w:val="99"/>
    <w:semiHidden/>
    <w:unhideWhenUsed/>
    <w:qFormat/>
    <w:rsid w:val="00A95E2D"/>
    <w:pPr>
      <w:spacing w:after="0"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rsid w:val="00ED359F"/>
    <w:pPr>
      <w:spacing w:after="0" w:line="240" w:lineRule="auto"/>
    </w:pPr>
    <w:rPr>
      <w:sz w:val="20"/>
      <w:szCs w:val="20"/>
    </w:rPr>
  </w:style>
  <w:style w:type="paragraph" w:styleId="Cabealho">
    <w:name w:val="header"/>
    <w:basedOn w:val="Normal"/>
    <w:link w:val="CabealhoChar"/>
    <w:uiPriority w:val="99"/>
    <w:unhideWhenUsed/>
    <w:rsid w:val="000D290F"/>
    <w:pPr>
      <w:tabs>
        <w:tab w:val="center" w:pos="4252"/>
        <w:tab w:val="right" w:pos="8504"/>
      </w:tabs>
      <w:spacing w:after="0" w:line="240" w:lineRule="auto"/>
    </w:pPr>
  </w:style>
  <w:style w:type="paragraph" w:styleId="Rodap">
    <w:name w:val="footer"/>
    <w:basedOn w:val="Normal"/>
    <w:link w:val="RodapChar"/>
    <w:uiPriority w:val="99"/>
    <w:unhideWhenUsed/>
    <w:rsid w:val="000D290F"/>
    <w:pPr>
      <w:tabs>
        <w:tab w:val="center" w:pos="4252"/>
        <w:tab w:val="right" w:pos="8504"/>
      </w:tabs>
      <w:spacing w:after="0" w:line="240" w:lineRule="auto"/>
    </w:pPr>
  </w:style>
  <w:style w:type="paragraph" w:styleId="Reviso">
    <w:name w:val="Revision"/>
    <w:uiPriority w:val="99"/>
    <w:semiHidden/>
    <w:qFormat/>
    <w:rsid w:val="009B28A0"/>
  </w:style>
  <w:style w:type="paragraph" w:customStyle="1" w:styleId="FrameContents">
    <w:name w:val="Frame Contents"/>
    <w:basedOn w:val="Normal"/>
    <w:qFormat/>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A95E2D"/>
    <w:rPr>
      <w:sz w:val="16"/>
      <w:szCs w:val="16"/>
    </w:rPr>
  </w:style>
  <w:style w:type="character" w:customStyle="1" w:styleId="TextodecomentrioChar">
    <w:name w:val="Texto de comentário Char"/>
    <w:basedOn w:val="Fontepargpadro"/>
    <w:link w:val="Textodecomentrio"/>
    <w:uiPriority w:val="99"/>
    <w:semiHidden/>
    <w:qFormat/>
    <w:rsid w:val="00A95E2D"/>
    <w:rPr>
      <w:sz w:val="20"/>
      <w:szCs w:val="20"/>
    </w:rPr>
  </w:style>
  <w:style w:type="character" w:customStyle="1" w:styleId="AssuntodocomentrioChar">
    <w:name w:val="Assunto do comentário Char"/>
    <w:basedOn w:val="TextodecomentrioChar"/>
    <w:link w:val="Assuntodocomentrio"/>
    <w:uiPriority w:val="99"/>
    <w:semiHidden/>
    <w:qFormat/>
    <w:rsid w:val="00A95E2D"/>
    <w:rPr>
      <w:b/>
      <w:bCs/>
      <w:sz w:val="20"/>
      <w:szCs w:val="20"/>
    </w:rPr>
  </w:style>
  <w:style w:type="character" w:customStyle="1" w:styleId="TextodebaloChar">
    <w:name w:val="Texto de balão Char"/>
    <w:basedOn w:val="Fontepargpadro"/>
    <w:link w:val="Textodebalo"/>
    <w:uiPriority w:val="99"/>
    <w:semiHidden/>
    <w:qFormat/>
    <w:rsid w:val="00A95E2D"/>
    <w:rPr>
      <w:rFonts w:ascii="Segoe UI" w:hAnsi="Segoe UI" w:cs="Segoe UI"/>
      <w:sz w:val="18"/>
      <w:szCs w:val="18"/>
    </w:rPr>
  </w:style>
  <w:style w:type="character" w:customStyle="1" w:styleId="TextodenotaderodapChar">
    <w:name w:val="Texto de nota de rodapé Char"/>
    <w:basedOn w:val="Fontepargpadro"/>
    <w:link w:val="Textodenotaderodap"/>
    <w:uiPriority w:val="99"/>
    <w:semiHidden/>
    <w:qFormat/>
    <w:rsid w:val="00ED359F"/>
    <w:rPr>
      <w:sz w:val="20"/>
      <w:szCs w:val="20"/>
    </w:rPr>
  </w:style>
  <w:style w:type="character" w:customStyle="1" w:styleId="FootnoteCharacters">
    <w:name w:val="Footnote Characters"/>
    <w:basedOn w:val="Fontepargpadro"/>
    <w:uiPriority w:val="99"/>
    <w:semiHidden/>
    <w:unhideWhenUsed/>
    <w:qFormat/>
    <w:rsid w:val="00ED359F"/>
    <w:rPr>
      <w:vertAlign w:val="superscript"/>
    </w:rPr>
  </w:style>
  <w:style w:type="character" w:customStyle="1" w:styleId="FootnoteAnchor">
    <w:name w:val="Footnote Anchor"/>
    <w:rPr>
      <w:vertAlign w:val="superscript"/>
    </w:rPr>
  </w:style>
  <w:style w:type="character" w:customStyle="1" w:styleId="CabealhoChar">
    <w:name w:val="Cabeçalho Char"/>
    <w:basedOn w:val="Fontepargpadro"/>
    <w:link w:val="Cabealho"/>
    <w:uiPriority w:val="99"/>
    <w:qFormat/>
    <w:rsid w:val="000D290F"/>
  </w:style>
  <w:style w:type="character" w:customStyle="1" w:styleId="RodapChar">
    <w:name w:val="Rodapé Char"/>
    <w:basedOn w:val="Fontepargpadro"/>
    <w:link w:val="Rodap"/>
    <w:uiPriority w:val="99"/>
    <w:qFormat/>
    <w:rsid w:val="000D290F"/>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odetexto"/>
    <w:qFormat/>
    <w:pPr>
      <w:keepNext/>
      <w:spacing w:before="240" w:after="120"/>
    </w:pPr>
    <w:rPr>
      <w:rFonts w:ascii="Liberation Sans" w:eastAsia="Noto Sans CJK SC Regular"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extodecomentrio">
    <w:name w:val="annotation text"/>
    <w:basedOn w:val="Normal"/>
    <w:link w:val="TextodecomentrioChar"/>
    <w:uiPriority w:val="99"/>
    <w:semiHidden/>
    <w:unhideWhenUsed/>
    <w:qFormat/>
    <w:rsid w:val="00A95E2D"/>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A95E2D"/>
    <w:rPr>
      <w:b/>
      <w:bCs/>
    </w:rPr>
  </w:style>
  <w:style w:type="paragraph" w:styleId="Textodebalo">
    <w:name w:val="Balloon Text"/>
    <w:basedOn w:val="Normal"/>
    <w:link w:val="TextodebaloChar"/>
    <w:uiPriority w:val="99"/>
    <w:semiHidden/>
    <w:unhideWhenUsed/>
    <w:qFormat/>
    <w:rsid w:val="00A95E2D"/>
    <w:pPr>
      <w:spacing w:after="0"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rsid w:val="00ED359F"/>
    <w:pPr>
      <w:spacing w:after="0" w:line="240" w:lineRule="auto"/>
    </w:pPr>
    <w:rPr>
      <w:sz w:val="20"/>
      <w:szCs w:val="20"/>
    </w:rPr>
  </w:style>
  <w:style w:type="paragraph" w:styleId="Cabealho">
    <w:name w:val="header"/>
    <w:basedOn w:val="Normal"/>
    <w:link w:val="CabealhoChar"/>
    <w:uiPriority w:val="99"/>
    <w:unhideWhenUsed/>
    <w:rsid w:val="000D290F"/>
    <w:pPr>
      <w:tabs>
        <w:tab w:val="center" w:pos="4252"/>
        <w:tab w:val="right" w:pos="8504"/>
      </w:tabs>
      <w:spacing w:after="0" w:line="240" w:lineRule="auto"/>
    </w:pPr>
  </w:style>
  <w:style w:type="paragraph" w:styleId="Rodap">
    <w:name w:val="footer"/>
    <w:basedOn w:val="Normal"/>
    <w:link w:val="RodapChar"/>
    <w:uiPriority w:val="99"/>
    <w:unhideWhenUsed/>
    <w:rsid w:val="000D290F"/>
    <w:pPr>
      <w:tabs>
        <w:tab w:val="center" w:pos="4252"/>
        <w:tab w:val="right" w:pos="8504"/>
      </w:tabs>
      <w:spacing w:after="0" w:line="240" w:lineRule="auto"/>
    </w:pPr>
  </w:style>
  <w:style w:type="paragraph" w:styleId="Reviso">
    <w:name w:val="Revision"/>
    <w:uiPriority w:val="99"/>
    <w:semiHidden/>
    <w:qFormat/>
    <w:rsid w:val="009B28A0"/>
  </w:style>
  <w:style w:type="paragraph" w:customStyle="1" w:styleId="FrameContents">
    <w:name w:val="Frame Contents"/>
    <w:basedOn w:val="Normal"/>
    <w:qFormat/>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40.wmf"/><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30.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wmf"/><Relationship Id="rId24" Type="http://schemas.openxmlformats.org/officeDocument/2006/relationships/image" Target="media/image14.wmf"/><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95D54908287E44A8CB90D1CF4954E0" ma:contentTypeVersion="13" ma:contentTypeDescription="Crie um novo documento." ma:contentTypeScope="" ma:versionID="5dc644853ce5aa71adc42c145bd140c8">
  <xsd:schema xmlns:xsd="http://www.w3.org/2001/XMLSchema" xmlns:xs="http://www.w3.org/2001/XMLSchema" xmlns:p="http://schemas.microsoft.com/office/2006/metadata/properties" xmlns:ns3="7e0e8aca-4658-4106-b1ca-d6b05501cd44" xmlns:ns4="a6e26442-0a4b-4b47-88dd-c1fb8da045ad" targetNamespace="http://schemas.microsoft.com/office/2006/metadata/properties" ma:root="true" ma:fieldsID="6f126c0557592b734ec1a8d3f2cb275c" ns3:_="" ns4:_="">
    <xsd:import namespace="7e0e8aca-4658-4106-b1ca-d6b05501cd44"/>
    <xsd:import namespace="a6e26442-0a4b-4b47-88dd-c1fb8da045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e8aca-4658-4106-b1ca-d6b05501c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26442-0a4b-4b47-88dd-c1fb8da045ad"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SharingHintHash" ma:index="18"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50F8-BC99-4AC1-98D9-A9378ECB5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e8aca-4658-4106-b1ca-d6b05501cd44"/>
    <ds:schemaRef ds:uri="a6e26442-0a4b-4b47-88dd-c1fb8da04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0A5F9-65AD-417E-B1B4-611FD4382960}">
  <ds:schemaRefs>
    <ds:schemaRef ds:uri="http://purl.org/dc/terms/"/>
    <ds:schemaRef ds:uri="http://schemas.openxmlformats.org/package/2006/metadata/core-properties"/>
    <ds:schemaRef ds:uri="http://purl.org/dc/dcmitype/"/>
    <ds:schemaRef ds:uri="http://schemas.microsoft.com/office/infopath/2007/PartnerControls"/>
    <ds:schemaRef ds:uri="7e0e8aca-4658-4106-b1ca-d6b05501cd44"/>
    <ds:schemaRef ds:uri="http://schemas.microsoft.com/office/2006/documentManagement/types"/>
    <ds:schemaRef ds:uri="http://purl.org/dc/elements/1.1/"/>
    <ds:schemaRef ds:uri="http://schemas.microsoft.com/office/2006/metadata/properties"/>
    <ds:schemaRef ds:uri="a6e26442-0a4b-4b47-88dd-c1fb8da045ad"/>
    <ds:schemaRef ds:uri="http://www.w3.org/XML/1998/namespace"/>
  </ds:schemaRefs>
</ds:datastoreItem>
</file>

<file path=customXml/itemProps3.xml><?xml version="1.0" encoding="utf-8"?>
<ds:datastoreItem xmlns:ds="http://schemas.openxmlformats.org/officeDocument/2006/customXml" ds:itemID="{D1C569F1-4552-448A-A10E-CB7A17490CD6}">
  <ds:schemaRefs>
    <ds:schemaRef ds:uri="http://schemas.microsoft.com/sharepoint/v3/contenttype/forms"/>
  </ds:schemaRefs>
</ds:datastoreItem>
</file>

<file path=customXml/itemProps4.xml><?xml version="1.0" encoding="utf-8"?>
<ds:datastoreItem xmlns:ds="http://schemas.openxmlformats.org/officeDocument/2006/customXml" ds:itemID="{94AE4F61-1403-4EFB-A2F0-A950C3DD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2135</Words>
  <Characters>11531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Flores Orth</dc:creator>
  <cp:lastModifiedBy>Maria Rita Lana Padilla</cp:lastModifiedBy>
  <cp:revision>2</cp:revision>
  <dcterms:created xsi:type="dcterms:W3CDTF">2021-09-03T21:48:00Z</dcterms:created>
  <dcterms:modified xsi:type="dcterms:W3CDTF">2021-09-03T21:48:00Z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0x010100E895D54908287E44A8CB90D1CF4954E0</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